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680" w:rsidRPr="005275B0" w:rsidRDefault="00C90680" w:rsidP="00C9068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C90680" w:rsidRPr="005275B0" w:rsidRDefault="00C90680" w:rsidP="00C9068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C90680" w:rsidRPr="005275B0" w:rsidRDefault="00C90680" w:rsidP="00C9068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C90680" w:rsidRPr="005275B0" w:rsidRDefault="00C90680" w:rsidP="00C90680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C90680" w:rsidRPr="005275B0" w:rsidRDefault="00C90680" w:rsidP="00C90680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C90680" w:rsidRDefault="00C90680" w:rsidP="00C906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</w:t>
      </w:r>
      <w:r>
        <w:rPr>
          <w:rFonts w:ascii="Cambria" w:hAnsi="Cambria" w:cs="Tahoma"/>
          <w:color w:val="000000"/>
          <w:sz w:val="22"/>
          <w:szCs w:val="22"/>
        </w:rPr>
        <w:t xml:space="preserve">a CENTRALE UNICA DI COMMITTENZA REGIONALE, CUC, soggetto aggregatore della Regione Autonoma Friuli Venezia Giulia, 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per </w:t>
      </w:r>
      <w:r>
        <w:rPr>
          <w:rFonts w:ascii="Cambria" w:hAnsi="Cambria" w:cs="Tahoma"/>
          <w:color w:val="000000"/>
          <w:sz w:val="22"/>
          <w:szCs w:val="22"/>
        </w:rPr>
        <w:t xml:space="preserve">i </w:t>
      </w:r>
      <w:r w:rsidRPr="005275B0">
        <w:rPr>
          <w:rFonts w:ascii="Cambria" w:hAnsi="Cambria" w:cs="Tahoma"/>
          <w:color w:val="000000"/>
          <w:sz w:val="22"/>
          <w:szCs w:val="22"/>
        </w:rPr>
        <w:t>beni di seguito indicati:</w:t>
      </w:r>
    </w:p>
    <w:tbl>
      <w:tblPr>
        <w:tblW w:w="4946" w:type="pct"/>
        <w:tblCellMar>
          <w:left w:w="0" w:type="dxa"/>
          <w:right w:w="0" w:type="dxa"/>
        </w:tblCellMar>
        <w:tblLook w:val="04A0"/>
      </w:tblPr>
      <w:tblGrid>
        <w:gridCol w:w="883"/>
        <w:gridCol w:w="4613"/>
        <w:gridCol w:w="1842"/>
        <w:gridCol w:w="2410"/>
      </w:tblGrid>
      <w:tr w:rsidR="00C90680" w:rsidTr="0097008D">
        <w:tc>
          <w:tcPr>
            <w:tcW w:w="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0680" w:rsidRPr="00C80FC4" w:rsidRDefault="00C90680" w:rsidP="0097008D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GARA</w:t>
            </w:r>
          </w:p>
        </w:tc>
        <w:tc>
          <w:tcPr>
            <w:tcW w:w="236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0680" w:rsidRPr="00C80FC4" w:rsidRDefault="00C90680" w:rsidP="0097008D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OGGETTO</w:t>
            </w:r>
          </w:p>
        </w:tc>
        <w:tc>
          <w:tcPr>
            <w:tcW w:w="94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0680" w:rsidRPr="00C80FC4" w:rsidRDefault="00C90680" w:rsidP="0097008D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IMPORTO PRESUNTO</w:t>
            </w:r>
          </w:p>
        </w:tc>
        <w:tc>
          <w:tcPr>
            <w:tcW w:w="12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0680" w:rsidRPr="00C80FC4" w:rsidRDefault="00C90680" w:rsidP="0097008D">
            <w:pPr>
              <w:rPr>
                <w:rFonts w:ascii="Cambria" w:eastAsia="Calibri" w:hAnsi="Cambria" w:cs="Calibri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OPZIONI CONTRATTUALI </w:t>
            </w:r>
          </w:p>
        </w:tc>
      </w:tr>
      <w:tr w:rsidR="00C90680" w:rsidTr="0097008D">
        <w:trPr>
          <w:trHeight w:val="480"/>
        </w:trPr>
        <w:tc>
          <w:tcPr>
            <w:tcW w:w="45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a</w:t>
            </w:r>
          </w:p>
        </w:tc>
        <w:tc>
          <w:tcPr>
            <w:tcW w:w="236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0680" w:rsidRPr="00722B9C" w:rsidRDefault="00C90680" w:rsidP="0097008D">
            <w:pPr>
              <w:jc w:val="both"/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ID17FAR002 CUC procedura aperta per la stipula di una convenzione per l’affidamento della fornitura di soluzioni infusionali.</w:t>
            </w:r>
          </w:p>
        </w:tc>
        <w:tc>
          <w:tcPr>
            <w:tcW w:w="94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0680" w:rsidRPr="00722B9C" w:rsidRDefault="00C90680" w:rsidP="0097008D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€ 5.163.553,95</w:t>
            </w:r>
          </w:p>
        </w:tc>
        <w:tc>
          <w:tcPr>
            <w:tcW w:w="123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(+ € 1.893.303,12 per opzioni contrattuali)</w:t>
            </w:r>
          </w:p>
        </w:tc>
      </w:tr>
      <w:tr w:rsidR="00C90680" w:rsidTr="0097008D">
        <w:trPr>
          <w:trHeight w:val="255"/>
        </w:trPr>
        <w:tc>
          <w:tcPr>
            <w:tcW w:w="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b</w:t>
            </w:r>
          </w:p>
        </w:tc>
        <w:tc>
          <w:tcPr>
            <w:tcW w:w="236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ID17FAR003 CUC procedura aperta per la stipula di una convenzione per l’affidamento della fornitura di prodotti per nutrizione parenterale.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€ 4.817.128,00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(+ € 1.766.280,27 per opzioni contrattuali)</w:t>
            </w:r>
          </w:p>
        </w:tc>
      </w:tr>
      <w:tr w:rsidR="00C90680" w:rsidTr="0097008D">
        <w:trPr>
          <w:trHeight w:val="90"/>
        </w:trPr>
        <w:tc>
          <w:tcPr>
            <w:tcW w:w="45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eastAsia="Calibri" w:hAnsi="Cambria" w:cs="Calibri"/>
              </w:rPr>
            </w:pPr>
            <w:r w:rsidRPr="00722B9C">
              <w:rPr>
                <w:rFonts w:ascii="Cambria" w:eastAsia="Calibri" w:hAnsi="Cambria" w:cs="Calibri"/>
              </w:rPr>
              <w:t>c</w:t>
            </w:r>
          </w:p>
        </w:tc>
        <w:tc>
          <w:tcPr>
            <w:tcW w:w="236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ID17FAR004 CUC procedura aperta per la stipula di una convenzione per l’affidamento della fornitura di mezzi di contrasto.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€ 8.556.422,00</w:t>
            </w:r>
          </w:p>
        </w:tc>
        <w:tc>
          <w:tcPr>
            <w:tcW w:w="12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0680" w:rsidRPr="00722B9C" w:rsidRDefault="00C90680" w:rsidP="0097008D">
            <w:pPr>
              <w:rPr>
                <w:rFonts w:ascii="Cambria" w:eastAsia="Calibri" w:hAnsi="Cambria" w:cs="Calibri"/>
              </w:rPr>
            </w:pPr>
            <w:r>
              <w:rPr>
                <w:rFonts w:ascii="Cambria" w:eastAsia="Calibri" w:hAnsi="Cambria" w:cs="Calibri"/>
              </w:rPr>
              <w:t>(+ € 3.137.354,73 per opzioni contrattuali)</w:t>
            </w:r>
          </w:p>
        </w:tc>
      </w:tr>
    </w:tbl>
    <w:p w:rsidR="00C90680" w:rsidRPr="005275B0" w:rsidRDefault="00C90680" w:rsidP="00C906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C90680" w:rsidRPr="005275B0" w:rsidRDefault="00C90680" w:rsidP="00C906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C90680" w:rsidRPr="005275B0" w:rsidRDefault="00C90680" w:rsidP="00C906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</w:t>
      </w:r>
      <w:r>
        <w:rPr>
          <w:rFonts w:ascii="Cambria" w:hAnsi="Cambria" w:cs="Tahoma"/>
          <w:color w:val="000000"/>
          <w:sz w:val="22"/>
          <w:szCs w:val="22"/>
        </w:rPr>
        <w:t>l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05/04/2017. La seduta pubblica di apertura dei plichi pervenuti è fissata  il giorno 06/04/2017   per le gare a-b e il giorno 07/04/2017 per la gara c presso la sede dell’Egas.                                                                             </w:t>
      </w:r>
    </w:p>
    <w:p w:rsidR="00C90680" w:rsidRPr="005275B0" w:rsidRDefault="00C90680" w:rsidP="00C906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</w:p>
    <w:p w:rsidR="00C90680" w:rsidRPr="005275B0" w:rsidRDefault="00C90680" w:rsidP="00C906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</w:p>
    <w:p w:rsidR="00C90680" w:rsidRPr="005275B0" w:rsidRDefault="00C90680" w:rsidP="00C9068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 xml:space="preserve"> 01/03/2017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13EB6">
        <w:rPr>
          <w:rFonts w:ascii="Cambria" w:hAnsi="Cambria" w:cs="Tahoma"/>
          <w:color w:val="000000"/>
          <w:sz w:val="22"/>
          <w:szCs w:val="22"/>
        </w:rPr>
        <w:t>06/04/2017</w:t>
      </w:r>
    </w:p>
    <w:p w:rsidR="00C90680" w:rsidRPr="00BD2D67" w:rsidRDefault="00C90680" w:rsidP="00C90680">
      <w:pPr>
        <w:jc w:val="both"/>
        <w:rPr>
          <w:rFonts w:ascii="Cambria" w:hAnsi="Cambria"/>
          <w:sz w:val="22"/>
          <w:szCs w:val="22"/>
        </w:rPr>
      </w:pPr>
      <w:r w:rsidRPr="00BD2D67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C90680" w:rsidRPr="00BD2D67" w:rsidRDefault="00C90680" w:rsidP="00C90680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C90680" w:rsidRPr="005275B0" w:rsidRDefault="00C90680" w:rsidP="00C90680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C90680" w:rsidRDefault="00C90680" w:rsidP="00C90680"/>
    <w:p w:rsidR="00C90680" w:rsidRPr="00DF459E" w:rsidRDefault="00C90680" w:rsidP="00C90680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D23E46" w:rsidRDefault="00D23E46"/>
    <w:sectPr w:rsidR="00D23E46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C90680"/>
    <w:rsid w:val="00513EB6"/>
    <w:rsid w:val="00C90680"/>
    <w:rsid w:val="00D23E46"/>
    <w:rsid w:val="00E61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906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2</cp:revision>
  <dcterms:created xsi:type="dcterms:W3CDTF">2017-03-01T13:32:00Z</dcterms:created>
  <dcterms:modified xsi:type="dcterms:W3CDTF">2017-03-06T09:07:00Z</dcterms:modified>
</cp:coreProperties>
</file>