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  <w:r w:rsidR="002F15D4">
        <w:rPr>
          <w:rFonts w:ascii="Cambria" w:hAnsi="Cambria"/>
          <w:color w:val="000000"/>
          <w:sz w:val="22"/>
          <w:szCs w:val="22"/>
        </w:rPr>
        <w:t>ID18DIA003</w:t>
      </w:r>
    </w:p>
    <w:p w:rsidR="009506CA" w:rsidRPr="009506CA" w:rsidRDefault="005A32F4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CUC,  gara a procedura aperta per la stipula di una convenzione per l’affidamento della fornitura di </w:t>
      </w:r>
      <w:r w:rsidR="002F15D4">
        <w:rPr>
          <w:rFonts w:ascii="Cambria" w:hAnsi="Cambria" w:cs="Tahoma"/>
          <w:color w:val="000000"/>
          <w:sz w:val="22"/>
          <w:szCs w:val="22"/>
        </w:rPr>
        <w:t>aghi per dialisi, cateteri per dialisi e dialisi peritoneale.</w:t>
      </w:r>
      <w:r w:rsidR="009506CA" w:rsidRPr="009506CA"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2F15D4">
        <w:rPr>
          <w:rFonts w:ascii="Cambria" w:hAnsi="Cambria" w:cs="Tahoma"/>
          <w:color w:val="000000"/>
          <w:sz w:val="22"/>
          <w:szCs w:val="22"/>
        </w:rPr>
        <w:t xml:space="preserve"> 1.291.302,40 + (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2F15D4">
        <w:rPr>
          <w:rFonts w:ascii="Cambria" w:hAnsi="Cambria" w:cs="Tahoma"/>
          <w:color w:val="000000"/>
          <w:sz w:val="22"/>
          <w:szCs w:val="22"/>
        </w:rPr>
        <w:t>473.477,40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). Scadenza </w:t>
      </w:r>
      <w:r w:rsidR="00D53D47">
        <w:rPr>
          <w:rFonts w:ascii="Cambria" w:hAnsi="Cambria" w:cs="Tahoma"/>
          <w:color w:val="000000"/>
          <w:sz w:val="22"/>
          <w:szCs w:val="22"/>
        </w:rPr>
        <w:t>11/04/2019 ore 12:00-Apertura 16/04/2019 ore 09:30.</w:t>
      </w:r>
      <w:bookmarkStart w:id="0" w:name="_GoBack"/>
      <w:bookmarkEnd w:id="0"/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2F15D4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D53D47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4EFD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2019-03-11T09:13:00Z</dcterms:modified>
</cp:coreProperties>
</file>