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</w:t>
      </w:r>
      <w:bookmarkStart w:id="0" w:name="_GoBack"/>
      <w:bookmarkEnd w:id="0"/>
      <w:r>
        <w:rPr>
          <w:rFonts w:ascii="Cambria" w:hAnsi="Cambria"/>
          <w:color w:val="000000"/>
          <w:sz w:val="22"/>
          <w:szCs w:val="22"/>
        </w:rPr>
        <w:t xml:space="preserve">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  <w:r w:rsidR="00603B48">
        <w:rPr>
          <w:rFonts w:ascii="Cambria" w:hAnsi="Cambria"/>
          <w:color w:val="000000"/>
          <w:sz w:val="22"/>
          <w:szCs w:val="22"/>
        </w:rPr>
        <w:t>ID18PRO006</w:t>
      </w:r>
    </w:p>
    <w:p w:rsidR="009506CA" w:rsidRPr="009506CA" w:rsidRDefault="005A32F4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in nome e per conto della CENTRALE UNICA DI COMMITTENZA </w:t>
      </w:r>
      <w:proofErr w:type="gramStart"/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REGIONALE,   </w:t>
      </w:r>
      <w:proofErr w:type="gramEnd"/>
      <w:r w:rsidR="009506CA" w:rsidRPr="009506CA">
        <w:rPr>
          <w:rFonts w:ascii="Cambria" w:hAnsi="Cambria" w:cs="Tahoma"/>
          <w:color w:val="000000"/>
          <w:sz w:val="22"/>
          <w:szCs w:val="22"/>
        </w:rPr>
        <w:t>gara a procedura aperta</w:t>
      </w:r>
      <w:r w:rsidR="007209C5">
        <w:rPr>
          <w:rFonts w:ascii="Cambria" w:hAnsi="Cambria" w:cs="Tahoma"/>
          <w:color w:val="000000"/>
          <w:sz w:val="22"/>
          <w:szCs w:val="22"/>
        </w:rPr>
        <w:t>,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03B48">
        <w:rPr>
          <w:rFonts w:ascii="Cambria" w:hAnsi="Cambria" w:cs="Tahoma"/>
          <w:color w:val="000000"/>
          <w:sz w:val="22"/>
          <w:szCs w:val="22"/>
        </w:rPr>
        <w:t>finalizzata alla conclusione di un accordo quadro</w:t>
      </w:r>
      <w:r w:rsidR="007209C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per l’affidamento della fornitura di </w:t>
      </w:r>
      <w:proofErr w:type="spellStart"/>
      <w:r w:rsidR="00603B48">
        <w:rPr>
          <w:rFonts w:ascii="Cambria" w:hAnsi="Cambria" w:cs="Tahoma"/>
          <w:color w:val="000000"/>
          <w:sz w:val="22"/>
          <w:szCs w:val="22"/>
        </w:rPr>
        <w:t>stent</w:t>
      </w:r>
      <w:proofErr w:type="spellEnd"/>
      <w:r w:rsidR="00603B48">
        <w:rPr>
          <w:rFonts w:ascii="Cambria" w:hAnsi="Cambria" w:cs="Tahoma"/>
          <w:color w:val="000000"/>
          <w:sz w:val="22"/>
          <w:szCs w:val="22"/>
        </w:rPr>
        <w:t xml:space="preserve"> coronarici e palloni da angioplastica coronarica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.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603B48">
        <w:rPr>
          <w:rFonts w:ascii="Cambria" w:hAnsi="Cambria" w:cs="Tahoma"/>
          <w:color w:val="000000"/>
          <w:sz w:val="22"/>
          <w:szCs w:val="22"/>
        </w:rPr>
        <w:t xml:space="preserve">257.000,00 +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603B48">
        <w:rPr>
          <w:rFonts w:ascii="Cambria" w:hAnsi="Cambria" w:cs="Tahoma"/>
          <w:color w:val="000000"/>
          <w:sz w:val="22"/>
          <w:szCs w:val="22"/>
        </w:rPr>
        <w:t>115.650,00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). Scadenza </w:t>
      </w:r>
      <w:r w:rsidR="007209C5">
        <w:rPr>
          <w:rFonts w:ascii="Cambria" w:hAnsi="Cambria" w:cs="Tahoma"/>
          <w:color w:val="000000"/>
          <w:sz w:val="22"/>
          <w:szCs w:val="22"/>
        </w:rPr>
        <w:t>14/06/2019 ore 12:00 apertura il 19/06/2019 ore 09:30.</w:t>
      </w:r>
    </w:p>
    <w:p w:rsidR="00D505E0" w:rsidRDefault="00A4033A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4B1C76"/>
    <w:rsid w:val="00521F41"/>
    <w:rsid w:val="00587CFB"/>
    <w:rsid w:val="005A32F4"/>
    <w:rsid w:val="005B1CA5"/>
    <w:rsid w:val="00603B48"/>
    <w:rsid w:val="007209C5"/>
    <w:rsid w:val="007533FB"/>
    <w:rsid w:val="007841EB"/>
    <w:rsid w:val="008171FB"/>
    <w:rsid w:val="008A5B06"/>
    <w:rsid w:val="009506CA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99053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8</cp:revision>
  <dcterms:created xsi:type="dcterms:W3CDTF">2017-10-12T06:37:00Z</dcterms:created>
  <dcterms:modified xsi:type="dcterms:W3CDTF">2019-05-09T09:10:00Z</dcterms:modified>
</cp:coreProperties>
</file>