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D0" w:rsidRPr="005003A2" w:rsidRDefault="009244D0" w:rsidP="00B14526">
      <w:pPr>
        <w:spacing w:after="0" w:line="240" w:lineRule="auto"/>
        <w:jc w:val="both"/>
        <w:rPr>
          <w:rFonts w:eastAsia="Calibri" w:cstheme="minorHAnsi"/>
          <w:sz w:val="24"/>
          <w:szCs w:val="24"/>
          <w:lang w:eastAsia="it-IT"/>
        </w:rPr>
      </w:pPr>
      <w:r w:rsidRPr="005003A2">
        <w:rPr>
          <w:rFonts w:eastAsia="Calibri" w:cstheme="minorHAnsi"/>
          <w:b/>
          <w:sz w:val="24"/>
          <w:szCs w:val="24"/>
          <w:lang w:eastAsia="it-IT"/>
        </w:rPr>
        <w:t xml:space="preserve">Bando di gara – </w:t>
      </w:r>
      <w:r w:rsidRPr="005003A2">
        <w:rPr>
          <w:rFonts w:eastAsia="Calibri" w:cstheme="minorHAnsi"/>
          <w:sz w:val="24"/>
          <w:szCs w:val="24"/>
          <w:lang w:eastAsia="it-IT"/>
        </w:rPr>
        <w:t>Direttiva 2014/25/UE</w:t>
      </w:r>
    </w:p>
    <w:p w:rsidR="009244D0" w:rsidRPr="005003A2" w:rsidRDefault="009244D0" w:rsidP="00B14526">
      <w:pPr>
        <w:spacing w:after="0" w:line="240" w:lineRule="auto"/>
        <w:jc w:val="both"/>
        <w:rPr>
          <w:rFonts w:eastAsia="Arial" w:cstheme="minorHAnsi"/>
          <w:b/>
          <w:sz w:val="24"/>
          <w:szCs w:val="24"/>
          <w:lang w:eastAsia="it-IT"/>
        </w:rPr>
      </w:pPr>
      <w:r w:rsidRPr="005003A2">
        <w:rPr>
          <w:rFonts w:eastAsia="Arial" w:cstheme="minorHAnsi"/>
          <w:b/>
          <w:sz w:val="24"/>
          <w:szCs w:val="24"/>
          <w:lang w:eastAsia="it-IT"/>
        </w:rPr>
        <w:t>Sezione I: Ente Aggiudicatore</w:t>
      </w:r>
    </w:p>
    <w:p w:rsidR="009244D0" w:rsidRPr="005003A2" w:rsidRDefault="009244D0" w:rsidP="00B14526">
      <w:pPr>
        <w:spacing w:after="0" w:line="240" w:lineRule="auto"/>
        <w:jc w:val="both"/>
        <w:rPr>
          <w:rFonts w:eastAsia="Arial" w:cstheme="minorHAnsi"/>
          <w:i/>
          <w:sz w:val="24"/>
          <w:szCs w:val="24"/>
          <w:lang w:eastAsia="it-IT"/>
        </w:rPr>
      </w:pPr>
      <w:r w:rsidRPr="005003A2">
        <w:rPr>
          <w:rFonts w:eastAsia="Arial" w:cstheme="minorHAnsi"/>
          <w:b/>
          <w:sz w:val="24"/>
          <w:szCs w:val="24"/>
          <w:lang w:eastAsia="it-IT"/>
        </w:rPr>
        <w:t xml:space="preserve">I.1) Denominazione e indirizzi </w:t>
      </w:r>
    </w:p>
    <w:p w:rsidR="009244D0" w:rsidRPr="005003A2" w:rsidRDefault="009244D0" w:rsidP="00B14526">
      <w:pPr>
        <w:spacing w:after="0" w:line="240" w:lineRule="auto"/>
        <w:jc w:val="both"/>
        <w:rPr>
          <w:rFonts w:eastAsia="Calibri" w:cstheme="minorHAnsi"/>
          <w:sz w:val="24"/>
          <w:szCs w:val="24"/>
          <w:lang w:eastAsia="it-IT"/>
        </w:rPr>
      </w:pPr>
      <w:r w:rsidRPr="005003A2">
        <w:rPr>
          <w:rFonts w:eastAsia="Calibri" w:cstheme="minorHAnsi"/>
          <w:sz w:val="24"/>
          <w:szCs w:val="24"/>
          <w:lang w:eastAsia="it-IT"/>
        </w:rPr>
        <w:t>FERROVIENORD SPA - PIAZZALE CADORNA 14 – MILANO – 20123 - Italia</w:t>
      </w:r>
    </w:p>
    <w:p w:rsidR="009244D0" w:rsidRPr="005003A2" w:rsidRDefault="009244D0" w:rsidP="00B14526">
      <w:pPr>
        <w:spacing w:after="0" w:line="240" w:lineRule="auto"/>
        <w:jc w:val="both"/>
        <w:rPr>
          <w:rFonts w:eastAsia="Calibri" w:cstheme="minorHAnsi"/>
          <w:sz w:val="24"/>
          <w:szCs w:val="24"/>
          <w:lang w:eastAsia="it-IT"/>
        </w:rPr>
      </w:pPr>
      <w:r w:rsidRPr="005003A2">
        <w:rPr>
          <w:rFonts w:eastAsia="Calibri" w:cstheme="minorHAnsi"/>
          <w:sz w:val="24"/>
          <w:szCs w:val="24"/>
          <w:lang w:eastAsia="it-IT"/>
        </w:rPr>
        <w:t>Persona di contatto: Dott.ssa Sarah Laquagni</w:t>
      </w:r>
    </w:p>
    <w:p w:rsidR="009244D0" w:rsidRPr="005003A2" w:rsidRDefault="009244D0" w:rsidP="00B14526">
      <w:pPr>
        <w:spacing w:after="0" w:line="240" w:lineRule="auto"/>
        <w:jc w:val="both"/>
        <w:rPr>
          <w:rFonts w:eastAsia="Calibri" w:cstheme="minorHAnsi"/>
          <w:sz w:val="24"/>
          <w:szCs w:val="24"/>
          <w:lang w:val="en-US" w:eastAsia="it-IT"/>
        </w:rPr>
      </w:pPr>
      <w:r w:rsidRPr="005003A2">
        <w:rPr>
          <w:rFonts w:eastAsia="Calibri" w:cstheme="minorHAnsi"/>
          <w:sz w:val="24"/>
          <w:szCs w:val="24"/>
          <w:lang w:val="en-US" w:eastAsia="it-IT"/>
        </w:rPr>
        <w:t>Tel.: +39 0285114250</w:t>
      </w:r>
    </w:p>
    <w:p w:rsidR="009244D0" w:rsidRPr="005003A2" w:rsidRDefault="009244D0" w:rsidP="00B14526">
      <w:pPr>
        <w:spacing w:after="0" w:line="240" w:lineRule="auto"/>
        <w:jc w:val="both"/>
        <w:rPr>
          <w:rFonts w:eastAsia="Calibri" w:cstheme="minorHAnsi"/>
          <w:sz w:val="24"/>
          <w:szCs w:val="24"/>
          <w:lang w:val="en-US" w:eastAsia="it-IT"/>
        </w:rPr>
      </w:pPr>
      <w:r w:rsidRPr="005003A2">
        <w:rPr>
          <w:rFonts w:eastAsia="Calibri" w:cstheme="minorHAnsi"/>
          <w:sz w:val="24"/>
          <w:szCs w:val="24"/>
          <w:lang w:val="en-US" w:eastAsia="it-IT"/>
        </w:rPr>
        <w:t xml:space="preserve">E-mail: </w:t>
      </w:r>
      <w:hyperlink r:id="rId7" w:history="1">
        <w:r w:rsidRPr="005003A2">
          <w:rPr>
            <w:rFonts w:eastAsia="Calibri" w:cstheme="minorHAnsi"/>
            <w:sz w:val="24"/>
            <w:szCs w:val="24"/>
            <w:u w:val="single"/>
            <w:lang w:val="en-US" w:eastAsia="it-IT"/>
          </w:rPr>
          <w:t>acquisti.forniture.fnm@legalmail.it</w:t>
        </w:r>
      </w:hyperlink>
    </w:p>
    <w:p w:rsidR="009244D0" w:rsidRPr="005003A2" w:rsidRDefault="009244D0" w:rsidP="00B14526">
      <w:pPr>
        <w:spacing w:after="0" w:line="240" w:lineRule="auto"/>
        <w:jc w:val="both"/>
        <w:rPr>
          <w:rFonts w:eastAsia="Calibri" w:cstheme="minorHAnsi"/>
          <w:bCs/>
          <w:sz w:val="24"/>
          <w:szCs w:val="24"/>
          <w:lang w:val="en-US" w:eastAsia="it-IT"/>
        </w:rPr>
      </w:pPr>
      <w:r w:rsidRPr="005003A2">
        <w:rPr>
          <w:rFonts w:eastAsia="Arial" w:cstheme="minorHAnsi"/>
          <w:sz w:val="24"/>
          <w:szCs w:val="24"/>
          <w:lang w:val="en-US" w:eastAsia="it-IT"/>
        </w:rPr>
        <w:t xml:space="preserve">Indirizzi Internet: (URL) </w:t>
      </w:r>
      <w:hyperlink r:id="rId8" w:history="1">
        <w:r w:rsidRPr="005003A2">
          <w:rPr>
            <w:rFonts w:eastAsia="Calibri" w:cstheme="minorHAnsi"/>
            <w:bCs/>
            <w:sz w:val="24"/>
            <w:szCs w:val="24"/>
            <w:u w:val="single"/>
            <w:lang w:val="en-US" w:eastAsia="it-IT"/>
          </w:rPr>
          <w:t>https://appalti.fnmgroup.it/PortaleAppalti</w:t>
        </w:r>
      </w:hyperlink>
    </w:p>
    <w:p w:rsidR="009244D0" w:rsidRPr="005003A2" w:rsidRDefault="009244D0" w:rsidP="00B14526">
      <w:pPr>
        <w:spacing w:after="0" w:line="240" w:lineRule="auto"/>
        <w:jc w:val="both"/>
        <w:rPr>
          <w:rFonts w:eastAsia="Arial" w:cstheme="minorHAnsi"/>
          <w:b/>
          <w:sz w:val="24"/>
          <w:szCs w:val="24"/>
          <w:lang w:eastAsia="it-IT"/>
        </w:rPr>
      </w:pPr>
      <w:r w:rsidRPr="005003A2">
        <w:rPr>
          <w:rFonts w:eastAsia="Arial" w:cstheme="minorHAnsi"/>
          <w:b/>
          <w:sz w:val="24"/>
          <w:szCs w:val="24"/>
          <w:lang w:eastAsia="it-IT"/>
        </w:rPr>
        <w:t>I.3) Comunicazione</w:t>
      </w:r>
    </w:p>
    <w:p w:rsidR="009244D0" w:rsidRPr="005003A2" w:rsidRDefault="009244D0" w:rsidP="00B14526">
      <w:pPr>
        <w:spacing w:after="0" w:line="240" w:lineRule="auto"/>
        <w:jc w:val="both"/>
        <w:rPr>
          <w:rFonts w:eastAsia="Calibri" w:cstheme="minorHAnsi"/>
          <w:bCs/>
          <w:sz w:val="24"/>
          <w:szCs w:val="24"/>
          <w:lang w:eastAsia="it-IT"/>
        </w:rPr>
      </w:pPr>
      <w:r w:rsidRPr="005003A2">
        <w:rPr>
          <w:rFonts w:eastAsia="Arial" w:cstheme="minorHAnsi"/>
          <w:sz w:val="24"/>
          <w:szCs w:val="24"/>
          <w:lang w:eastAsia="it-IT"/>
        </w:rPr>
        <w:t xml:space="preserve">I documenti di gara sono disponibili per un accesso gratuito, illimitato e diretto presso: </w:t>
      </w:r>
      <w:hyperlink r:id="rId9" w:history="1">
        <w:r w:rsidRPr="005003A2">
          <w:rPr>
            <w:rFonts w:eastAsia="Calibri" w:cstheme="minorHAnsi"/>
            <w:bCs/>
            <w:sz w:val="24"/>
            <w:szCs w:val="24"/>
            <w:u w:val="single"/>
            <w:lang w:eastAsia="it-IT"/>
          </w:rPr>
          <w:t>https://appalti.fnmgroup.it/PortaleAppalti</w:t>
        </w:r>
      </w:hyperlink>
    </w:p>
    <w:p w:rsidR="009244D0" w:rsidRPr="005003A2" w:rsidRDefault="009244D0" w:rsidP="00B14526">
      <w:pPr>
        <w:spacing w:after="0" w:line="240" w:lineRule="auto"/>
        <w:jc w:val="both"/>
        <w:rPr>
          <w:rFonts w:eastAsia="Arial" w:cstheme="minorHAnsi"/>
          <w:noProof/>
          <w:sz w:val="24"/>
          <w:szCs w:val="24"/>
          <w:lang w:eastAsia="it-IT"/>
        </w:rPr>
      </w:pPr>
      <w:r w:rsidRPr="005003A2">
        <w:rPr>
          <w:rFonts w:eastAsia="Arial" w:cstheme="minorHAnsi"/>
          <w:sz w:val="24"/>
          <w:szCs w:val="24"/>
          <w:lang w:eastAsia="it-IT"/>
        </w:rPr>
        <w:t>Ulteriori informazioni sono disponibili presso: l'indirizzo sopraindicato</w:t>
      </w:r>
      <w:r w:rsidRPr="005003A2">
        <w:rPr>
          <w:rFonts w:eastAsia="Arial" w:cstheme="minorHAnsi"/>
          <w:noProof/>
          <w:sz w:val="24"/>
          <w:szCs w:val="24"/>
          <w:lang w:eastAsia="it-IT"/>
        </w:rPr>
        <w:t xml:space="preserve"> </w:t>
      </w:r>
    </w:p>
    <w:p w:rsidR="009244D0" w:rsidRPr="005003A2" w:rsidRDefault="009244D0" w:rsidP="00B14526">
      <w:pPr>
        <w:spacing w:after="0" w:line="240" w:lineRule="auto"/>
        <w:jc w:val="both"/>
        <w:rPr>
          <w:rFonts w:eastAsia="Arial" w:cstheme="minorHAnsi"/>
          <w:sz w:val="24"/>
          <w:szCs w:val="24"/>
          <w:lang w:eastAsia="it-IT"/>
        </w:rPr>
      </w:pPr>
      <w:r w:rsidRPr="005003A2">
        <w:rPr>
          <w:rFonts w:eastAsia="Arial" w:cstheme="minorHAnsi"/>
          <w:sz w:val="24"/>
          <w:szCs w:val="24"/>
          <w:lang w:eastAsia="it-IT"/>
        </w:rPr>
        <w:t>Le offerte o le domande di partecipazione vanno inviate in versione elettronica: all’indirizzo sopraindicato</w:t>
      </w:r>
    </w:p>
    <w:p w:rsidR="009244D0" w:rsidRPr="005003A2" w:rsidRDefault="009244D0" w:rsidP="00B14526">
      <w:pPr>
        <w:spacing w:after="0" w:line="240" w:lineRule="auto"/>
        <w:jc w:val="both"/>
        <w:rPr>
          <w:rFonts w:eastAsia="Arial" w:cstheme="minorHAnsi"/>
          <w:sz w:val="24"/>
          <w:szCs w:val="24"/>
          <w:lang w:eastAsia="it-IT"/>
        </w:rPr>
      </w:pPr>
      <w:r w:rsidRPr="005003A2">
        <w:rPr>
          <w:rFonts w:eastAsia="Arial" w:cstheme="minorHAnsi"/>
          <w:b/>
          <w:sz w:val="24"/>
          <w:szCs w:val="24"/>
          <w:lang w:eastAsia="it-IT"/>
        </w:rPr>
        <w:t xml:space="preserve">I.6) Principali settori di attività: </w:t>
      </w:r>
      <w:r w:rsidRPr="005003A2">
        <w:rPr>
          <w:rFonts w:eastAsia="Arial" w:cstheme="minorHAnsi"/>
          <w:sz w:val="24"/>
          <w:szCs w:val="24"/>
          <w:lang w:eastAsia="it-IT"/>
        </w:rPr>
        <w:t>Settori ferroviari</w:t>
      </w:r>
    </w:p>
    <w:p w:rsidR="009244D0" w:rsidRPr="005003A2" w:rsidRDefault="009244D0" w:rsidP="00B14526">
      <w:pPr>
        <w:spacing w:after="0" w:line="240" w:lineRule="auto"/>
        <w:jc w:val="both"/>
        <w:rPr>
          <w:rFonts w:eastAsia="Arial" w:cstheme="minorHAnsi"/>
          <w:b/>
          <w:sz w:val="24"/>
          <w:szCs w:val="24"/>
          <w:lang w:eastAsia="it-IT"/>
        </w:rPr>
      </w:pPr>
      <w:r w:rsidRPr="005003A2">
        <w:rPr>
          <w:rFonts w:eastAsia="Arial" w:cstheme="minorHAnsi"/>
          <w:b/>
          <w:sz w:val="24"/>
          <w:szCs w:val="24"/>
          <w:lang w:eastAsia="it-IT"/>
        </w:rPr>
        <w:t>Sezione II: Oggetto</w:t>
      </w:r>
    </w:p>
    <w:p w:rsidR="009244D0" w:rsidRPr="005003A2" w:rsidRDefault="009244D0" w:rsidP="00B14526">
      <w:pPr>
        <w:spacing w:after="0" w:line="240" w:lineRule="auto"/>
        <w:jc w:val="both"/>
        <w:rPr>
          <w:rFonts w:eastAsia="Arial" w:cstheme="minorHAnsi"/>
          <w:b/>
          <w:sz w:val="24"/>
          <w:szCs w:val="24"/>
          <w:lang w:eastAsia="it-IT"/>
        </w:rPr>
      </w:pPr>
      <w:r w:rsidRPr="005003A2">
        <w:rPr>
          <w:rFonts w:eastAsia="Calibri" w:cstheme="minorHAnsi"/>
          <w:b/>
          <w:sz w:val="24"/>
          <w:szCs w:val="24"/>
          <w:lang w:eastAsia="it-IT"/>
        </w:rPr>
        <w:t xml:space="preserve">II.1) </w:t>
      </w:r>
      <w:r w:rsidRPr="005003A2">
        <w:rPr>
          <w:rFonts w:eastAsia="Arial" w:cstheme="minorHAnsi"/>
          <w:b/>
          <w:sz w:val="24"/>
          <w:szCs w:val="24"/>
          <w:lang w:eastAsia="it-IT"/>
        </w:rPr>
        <w:t>Entità dell'appalto</w:t>
      </w:r>
    </w:p>
    <w:p w:rsidR="003640E3" w:rsidRPr="005003A2" w:rsidRDefault="009244D0" w:rsidP="003640E3">
      <w:pPr>
        <w:spacing w:after="0" w:line="240" w:lineRule="auto"/>
        <w:jc w:val="both"/>
        <w:rPr>
          <w:rFonts w:cstheme="minorHAnsi"/>
          <w:sz w:val="24"/>
          <w:szCs w:val="24"/>
        </w:rPr>
      </w:pPr>
      <w:r w:rsidRPr="005003A2">
        <w:rPr>
          <w:rFonts w:eastAsia="Arial" w:cstheme="minorHAnsi"/>
          <w:b/>
          <w:sz w:val="24"/>
          <w:szCs w:val="24"/>
          <w:lang w:eastAsia="it-IT"/>
        </w:rPr>
        <w:t xml:space="preserve">II.1.1) Denominazione: </w:t>
      </w:r>
      <w:r w:rsidR="003640E3" w:rsidRPr="005003A2">
        <w:rPr>
          <w:rFonts w:cstheme="minorHAnsi"/>
          <w:sz w:val="24"/>
          <w:szCs w:val="24"/>
        </w:rPr>
        <w:t xml:space="preserve">Fornitura </w:t>
      </w:r>
      <w:r w:rsidR="003640E3" w:rsidRPr="005003A2">
        <w:rPr>
          <w:rFonts w:eastAsia="Calibri" w:cstheme="minorHAnsi"/>
          <w:sz w:val="24"/>
          <w:szCs w:val="24"/>
        </w:rPr>
        <w:t xml:space="preserve">di cuori in acciaio fuso al </w:t>
      </w:r>
      <w:r w:rsidR="00AA41B9">
        <w:rPr>
          <w:rFonts w:eastAsia="Calibri" w:cstheme="minorHAnsi"/>
          <w:sz w:val="24"/>
          <w:szCs w:val="24"/>
        </w:rPr>
        <w:t>m</w:t>
      </w:r>
      <w:r w:rsidR="003640E3" w:rsidRPr="005003A2">
        <w:rPr>
          <w:rFonts w:eastAsia="Calibri" w:cstheme="minorHAnsi"/>
          <w:sz w:val="24"/>
          <w:szCs w:val="24"/>
        </w:rPr>
        <w:t>anganese</w:t>
      </w:r>
      <w:r w:rsidR="003640E3" w:rsidRPr="005003A2">
        <w:rPr>
          <w:rFonts w:cstheme="minorHAnsi"/>
          <w:sz w:val="24"/>
          <w:szCs w:val="24"/>
        </w:rPr>
        <w:t xml:space="preserve">. CIG </w:t>
      </w:r>
      <w:r w:rsidR="00EA3EB5" w:rsidRPr="00EA3EB5">
        <w:rPr>
          <w:rFonts w:cstheme="minorHAnsi"/>
          <w:sz w:val="24"/>
          <w:szCs w:val="24"/>
        </w:rPr>
        <w:t>875589377A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Numero di riferimento: 0</w:t>
      </w:r>
      <w:r w:rsidR="00F439EF" w:rsidRPr="005003A2">
        <w:rPr>
          <w:rFonts w:cstheme="minorHAnsi"/>
          <w:sz w:val="24"/>
          <w:szCs w:val="24"/>
        </w:rPr>
        <w:t>29</w:t>
      </w:r>
      <w:r w:rsidR="00F50177" w:rsidRPr="005003A2">
        <w:rPr>
          <w:rFonts w:cstheme="minorHAnsi"/>
          <w:sz w:val="24"/>
          <w:szCs w:val="24"/>
        </w:rPr>
        <w:t>8</w:t>
      </w:r>
      <w:r w:rsidRPr="005003A2">
        <w:rPr>
          <w:rFonts w:cstheme="minorHAnsi"/>
          <w:sz w:val="24"/>
          <w:szCs w:val="24"/>
        </w:rPr>
        <w:t>-2021</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II.1.2) Codice CPV principale</w:t>
      </w:r>
    </w:p>
    <w:p w:rsidR="009244D0" w:rsidRPr="005003A2" w:rsidRDefault="00275A02" w:rsidP="00B14526">
      <w:pPr>
        <w:spacing w:after="0" w:line="240" w:lineRule="auto"/>
        <w:jc w:val="both"/>
        <w:rPr>
          <w:rFonts w:cstheme="minorHAnsi"/>
          <w:sz w:val="24"/>
          <w:szCs w:val="24"/>
        </w:rPr>
      </w:pPr>
      <w:r w:rsidRPr="00F70CB3">
        <w:rPr>
          <w:rFonts w:cstheme="minorHAnsi"/>
          <w:sz w:val="24"/>
          <w:szCs w:val="24"/>
        </w:rPr>
        <w:t>34946220</w:t>
      </w:r>
      <w:r w:rsidR="00F710A1" w:rsidRPr="00F70CB3">
        <w:rPr>
          <w:rFonts w:cstheme="minorHAnsi"/>
          <w:sz w:val="24"/>
          <w:szCs w:val="24"/>
        </w:rPr>
        <w:t xml:space="preserve"> </w:t>
      </w:r>
      <w:r w:rsidR="0029286A" w:rsidRPr="00F70CB3">
        <w:rPr>
          <w:rFonts w:cstheme="minorHAnsi"/>
          <w:sz w:val="24"/>
          <w:szCs w:val="24"/>
        </w:rPr>
        <w:t xml:space="preserve">– </w:t>
      </w:r>
      <w:r w:rsidR="00F70CB3" w:rsidRPr="00F70CB3">
        <w:rPr>
          <w:rFonts w:cstheme="minorHAnsi"/>
          <w:sz w:val="24"/>
          <w:szCs w:val="24"/>
        </w:rPr>
        <w:t>Aghi, cuori, tiranti per scambi e deviatoi</w:t>
      </w:r>
    </w:p>
    <w:p w:rsidR="009244D0" w:rsidRPr="005003A2" w:rsidRDefault="009244D0" w:rsidP="00B14526">
      <w:pPr>
        <w:spacing w:after="0" w:line="240" w:lineRule="auto"/>
        <w:jc w:val="both"/>
        <w:rPr>
          <w:rFonts w:cstheme="minorHAnsi"/>
          <w:sz w:val="24"/>
          <w:szCs w:val="24"/>
        </w:rPr>
      </w:pPr>
      <w:r w:rsidRPr="005003A2">
        <w:rPr>
          <w:rFonts w:cstheme="minorHAnsi"/>
          <w:b/>
          <w:sz w:val="24"/>
          <w:szCs w:val="24"/>
        </w:rPr>
        <w:t>II.1.3) Tipo di appalto:</w:t>
      </w:r>
      <w:r w:rsidRPr="005003A2">
        <w:rPr>
          <w:rFonts w:cstheme="minorHAnsi"/>
          <w:sz w:val="24"/>
          <w:szCs w:val="24"/>
        </w:rPr>
        <w:t xml:space="preserve"> Forniture</w:t>
      </w:r>
    </w:p>
    <w:p w:rsidR="009244D0" w:rsidRPr="005003A2" w:rsidRDefault="009244D0" w:rsidP="00B14526">
      <w:pPr>
        <w:spacing w:after="0" w:line="240" w:lineRule="auto"/>
        <w:jc w:val="both"/>
        <w:rPr>
          <w:rFonts w:cstheme="minorHAnsi"/>
          <w:sz w:val="24"/>
          <w:szCs w:val="24"/>
        </w:rPr>
      </w:pPr>
      <w:r w:rsidRPr="005003A2">
        <w:rPr>
          <w:rFonts w:cstheme="minorHAnsi"/>
          <w:b/>
          <w:sz w:val="24"/>
          <w:szCs w:val="24"/>
        </w:rPr>
        <w:t>II.1.4) Breve descrizione:</w:t>
      </w:r>
      <w:r w:rsidR="00653A13" w:rsidRPr="005003A2">
        <w:rPr>
          <w:rFonts w:cstheme="minorHAnsi"/>
          <w:sz w:val="24"/>
          <w:szCs w:val="24"/>
        </w:rPr>
        <w:t xml:space="preserve"> Fornitura </w:t>
      </w:r>
      <w:r w:rsidR="008F7189">
        <w:rPr>
          <w:rFonts w:eastAsia="Calibri" w:cstheme="minorHAnsi"/>
          <w:sz w:val="24"/>
          <w:szCs w:val="24"/>
        </w:rPr>
        <w:t xml:space="preserve">di cuori in </w:t>
      </w:r>
      <w:r w:rsidR="00AA41B9">
        <w:rPr>
          <w:rFonts w:eastAsia="Calibri" w:cstheme="minorHAnsi"/>
          <w:sz w:val="24"/>
          <w:szCs w:val="24"/>
        </w:rPr>
        <w:t>acciaio fuso al m</w:t>
      </w:r>
      <w:r w:rsidR="00653A13" w:rsidRPr="005003A2">
        <w:rPr>
          <w:rFonts w:eastAsia="Calibri" w:cstheme="minorHAnsi"/>
          <w:sz w:val="24"/>
          <w:szCs w:val="24"/>
        </w:rPr>
        <w:t>anganese</w:t>
      </w:r>
      <w:r w:rsidRPr="005003A2">
        <w:rPr>
          <w:rFonts w:cstheme="minorHAnsi"/>
          <w:sz w:val="24"/>
          <w:szCs w:val="24"/>
        </w:rPr>
        <w:t>. CIG</w:t>
      </w:r>
      <w:r w:rsidR="00C420B7" w:rsidRPr="005003A2">
        <w:rPr>
          <w:rFonts w:cstheme="minorHAnsi"/>
          <w:sz w:val="24"/>
          <w:szCs w:val="24"/>
        </w:rPr>
        <w:t xml:space="preserve"> </w:t>
      </w:r>
      <w:r w:rsidR="00EA3EB5" w:rsidRPr="00EA3EB5">
        <w:rPr>
          <w:rFonts w:cstheme="minorHAnsi"/>
          <w:sz w:val="24"/>
          <w:szCs w:val="24"/>
        </w:rPr>
        <w:t>875589377A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II.1.5) Valore totale stimato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Valore, IVA esclusa: </w:t>
      </w:r>
      <w:r w:rsidR="00653A13" w:rsidRPr="005003A2">
        <w:rPr>
          <w:rFonts w:cstheme="minorHAnsi"/>
          <w:sz w:val="24"/>
          <w:szCs w:val="24"/>
        </w:rPr>
        <w:t>700</w:t>
      </w:r>
      <w:r w:rsidRPr="005003A2">
        <w:rPr>
          <w:rFonts w:cstheme="minorHAnsi"/>
          <w:sz w:val="24"/>
          <w:szCs w:val="24"/>
        </w:rPr>
        <w:t>.000.00 EUR</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II.1.6) Informazioni relative ai lotti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Questo appalto è suddiviso in lotti: 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 Descrizione</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II.2.3) Luogo di esecuzione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Codice NUTS: ITC4 Lombardia</w:t>
      </w:r>
    </w:p>
    <w:p w:rsidR="009244D0" w:rsidRPr="00275A02" w:rsidRDefault="009244D0" w:rsidP="00BA34B6">
      <w:pPr>
        <w:pStyle w:val="Default"/>
        <w:jc w:val="both"/>
        <w:rPr>
          <w:rFonts w:asciiTheme="minorHAnsi" w:hAnsiTheme="minorHAnsi" w:cstheme="minorHAnsi"/>
        </w:rPr>
      </w:pPr>
      <w:r w:rsidRPr="00275A02">
        <w:rPr>
          <w:rFonts w:asciiTheme="minorHAnsi" w:hAnsiTheme="minorHAnsi" w:cstheme="minorHAnsi"/>
        </w:rPr>
        <w:t xml:space="preserve">Luogo principale di esecuzione: </w:t>
      </w:r>
      <w:r w:rsidR="00864D76" w:rsidRPr="00275A02">
        <w:rPr>
          <w:rFonts w:asciiTheme="minorHAnsi" w:hAnsiTheme="minorHAnsi" w:cstheme="minorHAnsi"/>
        </w:rPr>
        <w:t>Ramo Milano: Ma</w:t>
      </w:r>
      <w:r w:rsidR="00B14526" w:rsidRPr="00275A02">
        <w:rPr>
          <w:rFonts w:asciiTheme="minorHAnsi" w:hAnsiTheme="minorHAnsi" w:cstheme="minorHAnsi"/>
        </w:rPr>
        <w:t xml:space="preserve">gazzino di Saronno (VA) - Ramo Iseo: Magazzino di Iseo (BS) </w:t>
      </w:r>
      <w:r w:rsidR="00BA34B6" w:rsidRPr="00275A02">
        <w:rPr>
          <w:rFonts w:asciiTheme="minorHAnsi" w:hAnsiTheme="minorHAnsi" w:cstheme="minorHAnsi"/>
        </w:rPr>
        <w:t xml:space="preserve">- </w:t>
      </w:r>
      <w:r w:rsidR="00E93D7C" w:rsidRPr="00275A02">
        <w:rPr>
          <w:rFonts w:asciiTheme="minorHAnsi" w:hAnsiTheme="minorHAnsi" w:cstheme="minorHAnsi"/>
        </w:rPr>
        <w:t>In caso di comprovate necessità operative la consegna potrà essere richiesta su ogni impianto della rete Ferrovi</w:t>
      </w:r>
      <w:r w:rsidR="00463BFE" w:rsidRPr="00275A02">
        <w:rPr>
          <w:rFonts w:asciiTheme="minorHAnsi" w:hAnsiTheme="minorHAnsi" w:cstheme="minorHAnsi"/>
        </w:rPr>
        <w:t>enord.</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II.2.4) Descrizione dell'appalto: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L’appalto ha per oggetto la fornitura </w:t>
      </w:r>
      <w:r w:rsidR="00AA41B9">
        <w:rPr>
          <w:rFonts w:cstheme="minorHAnsi"/>
          <w:sz w:val="24"/>
          <w:szCs w:val="24"/>
        </w:rPr>
        <w:t>di cuori in acciaio fuso al m</w:t>
      </w:r>
      <w:r w:rsidR="008F7189">
        <w:rPr>
          <w:rFonts w:cstheme="minorHAnsi"/>
          <w:sz w:val="24"/>
          <w:szCs w:val="24"/>
        </w:rPr>
        <w:t>a</w:t>
      </w:r>
      <w:r w:rsidR="0003753C" w:rsidRPr="005003A2">
        <w:rPr>
          <w:rFonts w:cstheme="minorHAnsi"/>
          <w:sz w:val="24"/>
          <w:szCs w:val="24"/>
        </w:rPr>
        <w:t>nganese</w:t>
      </w:r>
      <w:r w:rsidRPr="005003A2">
        <w:rPr>
          <w:rFonts w:cstheme="minorHAnsi"/>
          <w:sz w:val="24"/>
          <w:szCs w:val="24"/>
        </w:rPr>
        <w:t>.</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L’appalto è costituito da un unico lotto poiché si vuole garantire uno standard omogeneo su tutta la rete ramo Milano e Iseo.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Il valore stimato dell'appalto è pari ad € </w:t>
      </w:r>
      <w:r w:rsidR="0003753C" w:rsidRPr="005003A2">
        <w:rPr>
          <w:rFonts w:cstheme="minorHAnsi"/>
          <w:sz w:val="24"/>
          <w:szCs w:val="24"/>
        </w:rPr>
        <w:t>700</w:t>
      </w:r>
      <w:r w:rsidRPr="005003A2">
        <w:rPr>
          <w:rFonts w:cstheme="minorHAnsi"/>
          <w:sz w:val="24"/>
          <w:szCs w:val="24"/>
        </w:rPr>
        <w:t>.000,00 oltre IVA e/o altre imposte e contributi di legge ed è così suddiviso: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 € </w:t>
      </w:r>
      <w:r w:rsidR="0003753C" w:rsidRPr="005003A2">
        <w:rPr>
          <w:rFonts w:cstheme="minorHAnsi"/>
          <w:sz w:val="24"/>
          <w:szCs w:val="24"/>
        </w:rPr>
        <w:t>700</w:t>
      </w:r>
      <w:r w:rsidRPr="005003A2">
        <w:rPr>
          <w:rFonts w:cstheme="minorHAnsi"/>
          <w:sz w:val="24"/>
          <w:szCs w:val="24"/>
        </w:rPr>
        <w:t>.000,00 oltre IVA per l’esecuzione delle forniture;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€ 0,00 oltre IVA, quali oneri per la s</w:t>
      </w:r>
      <w:r w:rsidR="000C699D" w:rsidRPr="005003A2">
        <w:rPr>
          <w:rFonts w:cstheme="minorHAnsi"/>
          <w:sz w:val="24"/>
          <w:szCs w:val="24"/>
        </w:rPr>
        <w:t>icurezza non soggetti a ribasso.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II.2.5)</w:t>
      </w:r>
      <w:r w:rsidR="000C699D" w:rsidRPr="005003A2">
        <w:rPr>
          <w:rFonts w:cstheme="minorHAnsi"/>
          <w:b/>
          <w:sz w:val="24"/>
          <w:szCs w:val="24"/>
        </w:rPr>
        <w:t xml:space="preserve"> </w:t>
      </w:r>
      <w:r w:rsidRPr="005003A2">
        <w:rPr>
          <w:rFonts w:cstheme="minorHAnsi"/>
          <w:b/>
          <w:sz w:val="24"/>
          <w:szCs w:val="24"/>
        </w:rPr>
        <w:t>Criteri di aggiudicazione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I criteri indicati di seguito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Prezzo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II.2.6)</w:t>
      </w:r>
      <w:r w:rsidR="000C699D" w:rsidRPr="005003A2">
        <w:rPr>
          <w:rFonts w:cstheme="minorHAnsi"/>
          <w:b/>
          <w:sz w:val="24"/>
          <w:szCs w:val="24"/>
        </w:rPr>
        <w:t xml:space="preserve"> </w:t>
      </w:r>
      <w:r w:rsidRPr="005003A2">
        <w:rPr>
          <w:rFonts w:cstheme="minorHAnsi"/>
          <w:b/>
          <w:sz w:val="24"/>
          <w:szCs w:val="24"/>
        </w:rPr>
        <w:t>Valore stimato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Valore, IVA esclusa: </w:t>
      </w:r>
      <w:r w:rsidR="0003753C" w:rsidRPr="005003A2">
        <w:rPr>
          <w:rFonts w:cstheme="minorHAnsi"/>
          <w:sz w:val="24"/>
          <w:szCs w:val="24"/>
        </w:rPr>
        <w:t>700</w:t>
      </w:r>
      <w:r w:rsidRPr="005003A2">
        <w:rPr>
          <w:rFonts w:cstheme="minorHAnsi"/>
          <w:sz w:val="24"/>
          <w:szCs w:val="24"/>
        </w:rPr>
        <w:t xml:space="preserve"> 000.00 EUR</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II.2.7)</w:t>
      </w:r>
      <w:r w:rsidR="000C699D" w:rsidRPr="005003A2">
        <w:rPr>
          <w:rFonts w:cstheme="minorHAnsi"/>
          <w:b/>
          <w:sz w:val="24"/>
          <w:szCs w:val="24"/>
        </w:rPr>
        <w:t xml:space="preserve"> </w:t>
      </w:r>
      <w:r w:rsidRPr="005003A2">
        <w:rPr>
          <w:rFonts w:cstheme="minorHAnsi"/>
          <w:b/>
          <w:sz w:val="24"/>
          <w:szCs w:val="24"/>
        </w:rPr>
        <w:t>Durata del contratto d'appalto, dell'accordo quadro o del sistema dinamico di acquisizione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Durata in giorni: 1095</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lastRenderedPageBreak/>
        <w:t>Il contratto d'appalto è oggetto di rinnovo: 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II.2.10)</w:t>
      </w:r>
      <w:r w:rsidR="000C699D" w:rsidRPr="005003A2">
        <w:rPr>
          <w:rFonts w:cstheme="minorHAnsi"/>
          <w:b/>
          <w:sz w:val="24"/>
          <w:szCs w:val="24"/>
        </w:rPr>
        <w:t xml:space="preserve"> </w:t>
      </w:r>
      <w:r w:rsidRPr="005003A2">
        <w:rPr>
          <w:rFonts w:cstheme="minorHAnsi"/>
          <w:b/>
          <w:sz w:val="24"/>
          <w:szCs w:val="24"/>
        </w:rPr>
        <w:t>Informazioni sulle varianti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Sono autorizzate varianti: 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II.2.11)</w:t>
      </w:r>
      <w:r w:rsidR="000C699D" w:rsidRPr="005003A2">
        <w:rPr>
          <w:rFonts w:cstheme="minorHAnsi"/>
          <w:b/>
          <w:sz w:val="24"/>
          <w:szCs w:val="24"/>
        </w:rPr>
        <w:t xml:space="preserve"> </w:t>
      </w:r>
      <w:r w:rsidRPr="005003A2">
        <w:rPr>
          <w:rFonts w:cstheme="minorHAnsi"/>
          <w:b/>
          <w:sz w:val="24"/>
          <w:szCs w:val="24"/>
        </w:rPr>
        <w:t>Informazioni relative alle opzioni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Opzioni: 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II.2.13)</w:t>
      </w:r>
      <w:r w:rsidR="000C699D" w:rsidRPr="005003A2">
        <w:rPr>
          <w:rFonts w:cstheme="minorHAnsi"/>
          <w:b/>
          <w:sz w:val="24"/>
          <w:szCs w:val="24"/>
        </w:rPr>
        <w:t xml:space="preserve"> </w:t>
      </w:r>
      <w:r w:rsidRPr="005003A2">
        <w:rPr>
          <w:rFonts w:cstheme="minorHAnsi"/>
          <w:b/>
          <w:sz w:val="24"/>
          <w:szCs w:val="24"/>
        </w:rPr>
        <w:t>Informazioni relative ai fondi dell'Unione europea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L'appalto è connesso ad un progetto e/o programma finanziato da fondi dell'Unione europea: 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II.2.14)</w:t>
      </w:r>
      <w:r w:rsidR="000C699D" w:rsidRPr="005003A2">
        <w:rPr>
          <w:rFonts w:cstheme="minorHAnsi"/>
          <w:b/>
          <w:sz w:val="24"/>
          <w:szCs w:val="24"/>
        </w:rPr>
        <w:t xml:space="preserve"> </w:t>
      </w:r>
      <w:r w:rsidRPr="005003A2">
        <w:rPr>
          <w:rFonts w:cstheme="minorHAnsi"/>
          <w:b/>
          <w:sz w:val="24"/>
          <w:szCs w:val="24"/>
        </w:rPr>
        <w:t>Informazioni complementari</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Sezione III: Informazioni di carattere giuridico, economico, finanziario e tecnico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III.1)</w:t>
      </w:r>
      <w:r w:rsidR="000C699D" w:rsidRPr="005003A2">
        <w:rPr>
          <w:rFonts w:cstheme="minorHAnsi"/>
          <w:b/>
          <w:sz w:val="24"/>
          <w:szCs w:val="24"/>
        </w:rPr>
        <w:t xml:space="preserve"> </w:t>
      </w:r>
      <w:r w:rsidRPr="005003A2">
        <w:rPr>
          <w:rFonts w:cstheme="minorHAnsi"/>
          <w:b/>
          <w:sz w:val="24"/>
          <w:szCs w:val="24"/>
        </w:rPr>
        <w:t>Condizioni di partecipazione</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III.1.1)</w:t>
      </w:r>
      <w:r w:rsidR="000C699D" w:rsidRPr="005003A2">
        <w:rPr>
          <w:rFonts w:cstheme="minorHAnsi"/>
          <w:b/>
          <w:sz w:val="24"/>
          <w:szCs w:val="24"/>
        </w:rPr>
        <w:t xml:space="preserve"> </w:t>
      </w:r>
      <w:r w:rsidRPr="005003A2">
        <w:rPr>
          <w:rFonts w:cstheme="minorHAnsi"/>
          <w:b/>
          <w:sz w:val="24"/>
          <w:szCs w:val="24"/>
        </w:rPr>
        <w:t>Abilitazione all’esercizio dell’attività professionale, inclusi i requisiti relativi all'iscrizione nell'albo professionale o nel registro commerciale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Elenco e breve descrizione delle condizioni: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a) insussistenza delle cause di esclusione di cui all’art. 80 del codice;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b) iscrizione nel registro tenuto dalla Camera di commercio industria, artigianato e agricoltura oppure nel registro delle commissioni provinciali per l’artigianato, ovvero per società estere, iscrizione nel registro professionale dello Stato di residenza, per attività coerenti con quelle oggetto della presente procedura di gara.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III.1.2)</w:t>
      </w:r>
      <w:r w:rsidR="000C699D" w:rsidRPr="005003A2">
        <w:rPr>
          <w:rFonts w:cstheme="minorHAnsi"/>
          <w:b/>
          <w:sz w:val="24"/>
          <w:szCs w:val="24"/>
        </w:rPr>
        <w:t xml:space="preserve"> </w:t>
      </w:r>
      <w:r w:rsidRPr="005003A2">
        <w:rPr>
          <w:rFonts w:cstheme="minorHAnsi"/>
          <w:b/>
          <w:sz w:val="24"/>
          <w:szCs w:val="24"/>
        </w:rPr>
        <w:t>Capacità economica e finanziaria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Elenco e breve descrizione dei criteri di selezione:</w:t>
      </w:r>
    </w:p>
    <w:p w:rsidR="009244D0" w:rsidRPr="005003A2" w:rsidRDefault="000C699D" w:rsidP="00B14526">
      <w:pPr>
        <w:spacing w:after="0" w:line="240" w:lineRule="auto"/>
        <w:jc w:val="both"/>
        <w:rPr>
          <w:rFonts w:cstheme="minorHAnsi"/>
          <w:sz w:val="24"/>
          <w:szCs w:val="24"/>
        </w:rPr>
      </w:pPr>
      <w:r w:rsidRPr="005003A2">
        <w:rPr>
          <w:rFonts w:cstheme="minorHAnsi"/>
          <w:sz w:val="24"/>
          <w:szCs w:val="24"/>
        </w:rPr>
        <w:t>a) a</w:t>
      </w:r>
      <w:r w:rsidR="009244D0" w:rsidRPr="005003A2">
        <w:rPr>
          <w:rFonts w:cstheme="minorHAnsi"/>
          <w:sz w:val="24"/>
          <w:szCs w:val="24"/>
        </w:rPr>
        <w:t xml:space="preserve">ver realizzato, nel triennio antecedente l’indizione della presente procedura di gara, un fatturato globale medio annuo pari ad almeno il doppio del valore stimato dell'appalto, calcolato in relazione al periodo di riferimento dello stesso ossia pari ad </w:t>
      </w:r>
      <w:r w:rsidR="009244D0" w:rsidRPr="00275A02">
        <w:rPr>
          <w:rFonts w:cstheme="minorHAnsi"/>
          <w:sz w:val="24"/>
          <w:szCs w:val="24"/>
        </w:rPr>
        <w:t xml:space="preserve">almeno € </w:t>
      </w:r>
      <w:r w:rsidR="00275A02" w:rsidRPr="00275A02">
        <w:rPr>
          <w:rFonts w:cstheme="minorHAnsi"/>
          <w:sz w:val="24"/>
          <w:szCs w:val="24"/>
        </w:rPr>
        <w:t>466.0</w:t>
      </w:r>
      <w:r w:rsidR="0003753C" w:rsidRPr="00275A02">
        <w:rPr>
          <w:rFonts w:cstheme="minorHAnsi"/>
          <w:sz w:val="24"/>
          <w:szCs w:val="24"/>
        </w:rPr>
        <w:t>00,</w:t>
      </w:r>
      <w:r w:rsidR="009244D0" w:rsidRPr="00275A02">
        <w:rPr>
          <w:rFonts w:cstheme="minorHAnsi"/>
          <w:sz w:val="24"/>
          <w:szCs w:val="24"/>
        </w:rPr>
        <w:t>00.</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b) </w:t>
      </w:r>
      <w:r w:rsidR="000C699D" w:rsidRPr="005003A2">
        <w:rPr>
          <w:rFonts w:cstheme="minorHAnsi"/>
          <w:sz w:val="24"/>
          <w:szCs w:val="24"/>
        </w:rPr>
        <w:t>a</w:t>
      </w:r>
      <w:r w:rsidRPr="005003A2">
        <w:rPr>
          <w:rFonts w:cstheme="minorHAnsi"/>
          <w:sz w:val="24"/>
          <w:szCs w:val="24"/>
        </w:rPr>
        <w:t xml:space="preserve">ver realizzato, nel triennio antecedente l’indizione della presente procedura di gara, un fatturato medio annuo nel settore di attività oggetto dell’appalto, pari ad almeno 1,5 volte il valore stimato dell'appalto, calcolato in relazione al periodo di riferimento dello stesso ossia pari ad almeno € </w:t>
      </w:r>
      <w:r w:rsidR="0003753C" w:rsidRPr="00275A02">
        <w:rPr>
          <w:rFonts w:cstheme="minorHAnsi"/>
          <w:sz w:val="24"/>
          <w:szCs w:val="24"/>
        </w:rPr>
        <w:t>350.000</w:t>
      </w:r>
      <w:r w:rsidRPr="00275A02">
        <w:rPr>
          <w:rFonts w:cstheme="minorHAnsi"/>
          <w:sz w:val="24"/>
          <w:szCs w:val="24"/>
        </w:rPr>
        <w:t>,00.</w:t>
      </w:r>
    </w:p>
    <w:p w:rsidR="009244D0" w:rsidRPr="005003A2" w:rsidRDefault="009244D0" w:rsidP="00B14526">
      <w:pPr>
        <w:spacing w:after="0" w:line="240" w:lineRule="auto"/>
        <w:jc w:val="both"/>
        <w:rPr>
          <w:rFonts w:cstheme="minorHAnsi"/>
          <w:sz w:val="24"/>
          <w:szCs w:val="24"/>
          <w:u w:val="single"/>
        </w:rPr>
      </w:pPr>
      <w:r w:rsidRPr="005003A2">
        <w:rPr>
          <w:rFonts w:cstheme="minorHAnsi"/>
          <w:sz w:val="24"/>
          <w:szCs w:val="24"/>
          <w:u w:val="single"/>
        </w:rPr>
        <w:t>Livelli minimi di capacità eventualmente richiesti: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Relativamente ai requisiti di cui al punto III.1.2) lettera a) e lettera b), in caso di ATI, gli stessi dovranno essere posseduti in misura maggioritaria dalla mandataria, fatto salvo che il requisito nel suo complesso debba essere posseduto dal raggruppamento nel suo complesso.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In tutti i casi sopra indicati, in caso di consorzio stabile o consorzio di cooperative, si rinvia a quanto disposto dall'art. 47 del </w:t>
      </w:r>
      <w:r w:rsidR="00F63F09" w:rsidRPr="005003A2">
        <w:rPr>
          <w:rFonts w:cstheme="minorHAnsi"/>
          <w:sz w:val="24"/>
          <w:szCs w:val="24"/>
        </w:rPr>
        <w:t>D.lgs.</w:t>
      </w:r>
      <w:r w:rsidRPr="005003A2">
        <w:rPr>
          <w:rFonts w:cstheme="minorHAnsi"/>
          <w:sz w:val="24"/>
          <w:szCs w:val="24"/>
        </w:rPr>
        <w:t xml:space="preserve"> n. 50/2016 in tema di possesso e comprova dei requisiti per la partecipazione alla gara.</w:t>
      </w:r>
    </w:p>
    <w:p w:rsidR="002E6685" w:rsidRPr="005003A2" w:rsidRDefault="002E6685" w:rsidP="00B14526">
      <w:pPr>
        <w:spacing w:after="0" w:line="240" w:lineRule="auto"/>
        <w:jc w:val="both"/>
        <w:rPr>
          <w:rFonts w:cstheme="minorHAnsi"/>
          <w:b/>
          <w:sz w:val="24"/>
          <w:szCs w:val="24"/>
        </w:rPr>
      </w:pPr>
      <w:r w:rsidRPr="005003A2">
        <w:rPr>
          <w:rFonts w:cstheme="minorHAnsi"/>
          <w:b/>
          <w:sz w:val="24"/>
          <w:szCs w:val="24"/>
        </w:rPr>
        <w:t>III.1.3) Capacità professionale e tecnica</w:t>
      </w:r>
    </w:p>
    <w:p w:rsidR="002E6685" w:rsidRPr="005003A2" w:rsidRDefault="002E6685" w:rsidP="00B14526">
      <w:pPr>
        <w:spacing w:after="0" w:line="240" w:lineRule="auto"/>
        <w:jc w:val="both"/>
        <w:rPr>
          <w:rFonts w:cstheme="minorHAnsi"/>
          <w:sz w:val="24"/>
          <w:szCs w:val="24"/>
        </w:rPr>
      </w:pPr>
      <w:r w:rsidRPr="005003A2">
        <w:rPr>
          <w:rFonts w:cstheme="minorHAnsi"/>
          <w:sz w:val="24"/>
          <w:szCs w:val="24"/>
        </w:rPr>
        <w:t>Elenco e breve descrizione dei criteri di selezione:</w:t>
      </w:r>
    </w:p>
    <w:p w:rsidR="0079253C" w:rsidRPr="00275A02" w:rsidRDefault="0079253C" w:rsidP="0079253C">
      <w:pPr>
        <w:spacing w:after="0" w:line="240" w:lineRule="auto"/>
        <w:jc w:val="both"/>
        <w:rPr>
          <w:rFonts w:cstheme="minorHAnsi"/>
          <w:sz w:val="24"/>
          <w:szCs w:val="24"/>
        </w:rPr>
      </w:pPr>
      <w:r>
        <w:rPr>
          <w:rFonts w:cstheme="minorHAnsi"/>
          <w:sz w:val="24"/>
          <w:szCs w:val="24"/>
        </w:rPr>
        <w:t xml:space="preserve">a) gli operatori economici dovranno essere </w:t>
      </w:r>
      <w:r w:rsidR="002E6685" w:rsidRPr="0079253C">
        <w:rPr>
          <w:rFonts w:cstheme="minorHAnsi"/>
          <w:sz w:val="24"/>
          <w:szCs w:val="24"/>
        </w:rPr>
        <w:t xml:space="preserve">in possesso della certificazione di conformità del proprio sistema qualità alle norme UNI EN ISO 9001:2015 e successive evoluzioni, rilasciata da organismi accreditati Accredia o da un Ente di Accreditamento europeo firmatario dell'Accordo di Mutuo </w:t>
      </w:r>
      <w:r w:rsidR="002E6685" w:rsidRPr="00275A02">
        <w:rPr>
          <w:rFonts w:cstheme="minorHAnsi"/>
          <w:sz w:val="24"/>
          <w:szCs w:val="24"/>
        </w:rPr>
        <w:t xml:space="preserve">Riconoscimento, e relativa </w:t>
      </w:r>
      <w:r w:rsidR="00B50475" w:rsidRPr="00275A02">
        <w:rPr>
          <w:rFonts w:cstheme="minorHAnsi"/>
          <w:sz w:val="24"/>
          <w:szCs w:val="24"/>
        </w:rPr>
        <w:t>alla progettazione e produzio</w:t>
      </w:r>
      <w:r w:rsidR="00AA41B9">
        <w:rPr>
          <w:rFonts w:cstheme="minorHAnsi"/>
          <w:sz w:val="24"/>
          <w:szCs w:val="24"/>
        </w:rPr>
        <w:t>ne di cuori in acciaio fuso al m</w:t>
      </w:r>
      <w:r w:rsidR="00B50475" w:rsidRPr="00275A02">
        <w:rPr>
          <w:rFonts w:cstheme="minorHAnsi"/>
          <w:sz w:val="24"/>
          <w:szCs w:val="24"/>
        </w:rPr>
        <w:t>anganese</w:t>
      </w:r>
      <w:r w:rsidR="009041FD" w:rsidRPr="00275A02">
        <w:rPr>
          <w:rFonts w:cstheme="minorHAnsi"/>
          <w:sz w:val="24"/>
          <w:szCs w:val="24"/>
        </w:rPr>
        <w:t>;</w:t>
      </w:r>
    </w:p>
    <w:p w:rsidR="002E6685" w:rsidRPr="005003A2" w:rsidRDefault="0079253C" w:rsidP="00BF33B7">
      <w:pPr>
        <w:spacing w:after="0" w:line="240" w:lineRule="auto"/>
        <w:jc w:val="both"/>
        <w:rPr>
          <w:rFonts w:cstheme="minorHAnsi"/>
          <w:sz w:val="24"/>
          <w:szCs w:val="24"/>
        </w:rPr>
      </w:pPr>
      <w:r w:rsidRPr="00275A02">
        <w:rPr>
          <w:rFonts w:cstheme="minorHAnsi"/>
          <w:sz w:val="24"/>
          <w:szCs w:val="24"/>
        </w:rPr>
        <w:t>b) gli operatori economici dovranno essere produtto</w:t>
      </w:r>
      <w:r w:rsidR="00AA41B9">
        <w:rPr>
          <w:rFonts w:cstheme="minorHAnsi"/>
          <w:sz w:val="24"/>
          <w:szCs w:val="24"/>
        </w:rPr>
        <w:t>ri di cuori in acciaio fuso al m</w:t>
      </w:r>
      <w:r w:rsidRPr="00275A02">
        <w:rPr>
          <w:rFonts w:cstheme="minorHAnsi"/>
          <w:sz w:val="24"/>
          <w:szCs w:val="24"/>
        </w:rPr>
        <w:t>anganese omologati in conformità alla specifica tecnica di fornitura RFI TCAR SF AR 06 010 B.</w:t>
      </w:r>
    </w:p>
    <w:p w:rsidR="002E6685" w:rsidRPr="005003A2" w:rsidRDefault="002E6685" w:rsidP="00B14526">
      <w:pPr>
        <w:spacing w:after="0" w:line="240" w:lineRule="auto"/>
        <w:jc w:val="both"/>
        <w:rPr>
          <w:rFonts w:cstheme="minorHAnsi"/>
          <w:sz w:val="24"/>
          <w:szCs w:val="24"/>
        </w:rPr>
      </w:pPr>
      <w:r w:rsidRPr="005003A2">
        <w:rPr>
          <w:rFonts w:cstheme="minorHAnsi"/>
          <w:sz w:val="24"/>
          <w:szCs w:val="24"/>
        </w:rPr>
        <w:t>Livelli minimi di capacità eventualmente richiesti:</w:t>
      </w:r>
    </w:p>
    <w:p w:rsidR="002E6685" w:rsidRPr="005003A2" w:rsidRDefault="002E6685" w:rsidP="00B14526">
      <w:pPr>
        <w:spacing w:after="0" w:line="240" w:lineRule="auto"/>
        <w:jc w:val="both"/>
        <w:rPr>
          <w:rFonts w:cstheme="minorHAnsi"/>
          <w:sz w:val="24"/>
          <w:szCs w:val="24"/>
        </w:rPr>
      </w:pPr>
      <w:r w:rsidRPr="00275A02">
        <w:rPr>
          <w:rFonts w:cstheme="minorHAnsi"/>
          <w:sz w:val="24"/>
          <w:szCs w:val="24"/>
        </w:rPr>
        <w:t>Relativamente a</w:t>
      </w:r>
      <w:r w:rsidR="00F710A1" w:rsidRPr="00275A02">
        <w:rPr>
          <w:rFonts w:cstheme="minorHAnsi"/>
          <w:sz w:val="24"/>
          <w:szCs w:val="24"/>
        </w:rPr>
        <w:t>i</w:t>
      </w:r>
      <w:r w:rsidRPr="00275A02">
        <w:rPr>
          <w:rFonts w:cstheme="minorHAnsi"/>
          <w:sz w:val="24"/>
          <w:szCs w:val="24"/>
        </w:rPr>
        <w:t xml:space="preserve"> requisit</w:t>
      </w:r>
      <w:r w:rsidR="00F710A1" w:rsidRPr="00275A02">
        <w:rPr>
          <w:rFonts w:cstheme="minorHAnsi"/>
          <w:sz w:val="24"/>
          <w:szCs w:val="24"/>
        </w:rPr>
        <w:t>i</w:t>
      </w:r>
      <w:r w:rsidRPr="00275A02">
        <w:rPr>
          <w:rFonts w:cstheme="minorHAnsi"/>
          <w:sz w:val="24"/>
          <w:szCs w:val="24"/>
        </w:rPr>
        <w:t xml:space="preserve"> di cui al punto III.1.3) lettera a)</w:t>
      </w:r>
      <w:r w:rsidR="00F710A1" w:rsidRPr="00275A02">
        <w:rPr>
          <w:rFonts w:cstheme="minorHAnsi"/>
          <w:sz w:val="24"/>
          <w:szCs w:val="24"/>
        </w:rPr>
        <w:t xml:space="preserve"> e lettera b)</w:t>
      </w:r>
      <w:r w:rsidRPr="00275A02">
        <w:rPr>
          <w:rFonts w:cstheme="minorHAnsi"/>
          <w:sz w:val="24"/>
          <w:szCs w:val="24"/>
        </w:rPr>
        <w:t xml:space="preserve">, in caso di ATI, </w:t>
      </w:r>
      <w:r w:rsidR="00F710A1" w:rsidRPr="00275A02">
        <w:rPr>
          <w:rFonts w:cstheme="minorHAnsi"/>
          <w:sz w:val="24"/>
          <w:szCs w:val="24"/>
        </w:rPr>
        <w:t>gli stessi dovranno essere</w:t>
      </w:r>
      <w:r w:rsidRPr="00275A02">
        <w:rPr>
          <w:rFonts w:cstheme="minorHAnsi"/>
          <w:sz w:val="24"/>
          <w:szCs w:val="24"/>
        </w:rPr>
        <w:t xml:space="preserve"> possedut</w:t>
      </w:r>
      <w:r w:rsidR="00F710A1" w:rsidRPr="00275A02">
        <w:rPr>
          <w:rFonts w:cstheme="minorHAnsi"/>
          <w:sz w:val="24"/>
          <w:szCs w:val="24"/>
        </w:rPr>
        <w:t>i</w:t>
      </w:r>
      <w:r w:rsidRPr="00275A02">
        <w:rPr>
          <w:rFonts w:cstheme="minorHAnsi"/>
          <w:sz w:val="24"/>
          <w:szCs w:val="24"/>
        </w:rPr>
        <w:t xml:space="preserve"> interamente da tutti i soggetti componenti l'ATI.</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III.1.6)</w:t>
      </w:r>
      <w:r w:rsidR="000C699D" w:rsidRPr="005003A2">
        <w:rPr>
          <w:rFonts w:cstheme="minorHAnsi"/>
          <w:b/>
          <w:sz w:val="24"/>
          <w:szCs w:val="24"/>
        </w:rPr>
        <w:t xml:space="preserve"> </w:t>
      </w:r>
      <w:r w:rsidRPr="005003A2">
        <w:rPr>
          <w:rFonts w:cstheme="minorHAnsi"/>
          <w:b/>
          <w:sz w:val="24"/>
          <w:szCs w:val="24"/>
        </w:rPr>
        <w:t>Cauzioni e garanzie richieste: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Si rimanda al disciplinare di gara.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lastRenderedPageBreak/>
        <w:t>III.1.7)</w:t>
      </w:r>
      <w:r w:rsidR="000C699D" w:rsidRPr="005003A2">
        <w:rPr>
          <w:rFonts w:cstheme="minorHAnsi"/>
          <w:b/>
          <w:sz w:val="24"/>
          <w:szCs w:val="24"/>
        </w:rPr>
        <w:t xml:space="preserve"> </w:t>
      </w:r>
      <w:r w:rsidRPr="005003A2">
        <w:rPr>
          <w:rFonts w:cstheme="minorHAnsi"/>
          <w:b/>
          <w:sz w:val="24"/>
          <w:szCs w:val="24"/>
        </w:rPr>
        <w:t>Principali modalità di finanziamento e di pagamento e/o riferimenti alle disposizioni applicabili in materia:</w:t>
      </w:r>
      <w:r w:rsidR="00EC1102" w:rsidRPr="005003A2">
        <w:rPr>
          <w:rFonts w:cstheme="minorHAnsi"/>
          <w:b/>
          <w:sz w:val="24"/>
          <w:szCs w:val="24"/>
        </w:rPr>
        <w:t xml:space="preserve"> </w:t>
      </w:r>
      <w:r w:rsidR="00EC1102" w:rsidRPr="005003A2">
        <w:rPr>
          <w:rFonts w:cstheme="minorHAnsi"/>
          <w:sz w:val="24"/>
          <w:szCs w:val="24"/>
        </w:rPr>
        <w:t>Fondi di esercizio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III.1.8)</w:t>
      </w:r>
      <w:r w:rsidR="000C699D" w:rsidRPr="005003A2">
        <w:rPr>
          <w:rFonts w:cstheme="minorHAnsi"/>
          <w:b/>
          <w:sz w:val="24"/>
          <w:szCs w:val="24"/>
        </w:rPr>
        <w:t xml:space="preserve"> </w:t>
      </w:r>
      <w:r w:rsidRPr="005003A2">
        <w:rPr>
          <w:rFonts w:cstheme="minorHAnsi"/>
          <w:b/>
          <w:sz w:val="24"/>
          <w:szCs w:val="24"/>
        </w:rPr>
        <w:t>Forma giuridica che dovrà assumere il raggruppamento di operatori economici aggiudicatario dell'appalto: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Si rimanda al disciplinare di gara.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Sezione IV: Procedura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IV.1)</w:t>
      </w:r>
      <w:r w:rsidR="000C699D" w:rsidRPr="005003A2">
        <w:rPr>
          <w:rFonts w:cstheme="minorHAnsi"/>
          <w:b/>
          <w:sz w:val="24"/>
          <w:szCs w:val="24"/>
        </w:rPr>
        <w:t xml:space="preserve"> </w:t>
      </w:r>
      <w:r w:rsidRPr="005003A2">
        <w:rPr>
          <w:rFonts w:cstheme="minorHAnsi"/>
          <w:b/>
          <w:sz w:val="24"/>
          <w:szCs w:val="24"/>
        </w:rPr>
        <w:t>Descrizione</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IV.1.1)</w:t>
      </w:r>
      <w:r w:rsidR="000C699D" w:rsidRPr="005003A2">
        <w:rPr>
          <w:rFonts w:cstheme="minorHAnsi"/>
          <w:b/>
          <w:sz w:val="24"/>
          <w:szCs w:val="24"/>
        </w:rPr>
        <w:t xml:space="preserve"> </w:t>
      </w:r>
      <w:r w:rsidRPr="005003A2">
        <w:rPr>
          <w:rFonts w:cstheme="minorHAnsi"/>
          <w:b/>
          <w:sz w:val="24"/>
          <w:szCs w:val="24"/>
        </w:rPr>
        <w:t>Tipo di procedura</w:t>
      </w:r>
      <w:r w:rsidR="000C699D" w:rsidRPr="005003A2">
        <w:rPr>
          <w:rFonts w:cstheme="minorHAnsi"/>
          <w:b/>
          <w:sz w:val="24"/>
          <w:szCs w:val="24"/>
        </w:rPr>
        <w:t xml:space="preserve">: </w:t>
      </w:r>
      <w:r w:rsidRPr="005003A2">
        <w:rPr>
          <w:rFonts w:cstheme="minorHAnsi"/>
          <w:b/>
          <w:sz w:val="24"/>
          <w:szCs w:val="24"/>
        </w:rPr>
        <w:t>Procedura aperta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IV.1.3)</w:t>
      </w:r>
      <w:r w:rsidR="000C699D" w:rsidRPr="005003A2">
        <w:rPr>
          <w:rFonts w:cstheme="minorHAnsi"/>
          <w:b/>
          <w:sz w:val="24"/>
          <w:szCs w:val="24"/>
        </w:rPr>
        <w:t xml:space="preserve"> </w:t>
      </w:r>
      <w:r w:rsidRPr="005003A2">
        <w:rPr>
          <w:rFonts w:cstheme="minorHAnsi"/>
          <w:b/>
          <w:sz w:val="24"/>
          <w:szCs w:val="24"/>
        </w:rPr>
        <w:t>Informazioni su un accordo quadro o un sistema dinamico di acquisizione</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IV.1.8)</w:t>
      </w:r>
      <w:r w:rsidR="000C699D" w:rsidRPr="005003A2">
        <w:rPr>
          <w:rFonts w:cstheme="minorHAnsi"/>
          <w:b/>
          <w:sz w:val="24"/>
          <w:szCs w:val="24"/>
        </w:rPr>
        <w:t xml:space="preserve"> </w:t>
      </w:r>
      <w:r w:rsidRPr="005003A2">
        <w:rPr>
          <w:rFonts w:cstheme="minorHAnsi"/>
          <w:b/>
          <w:sz w:val="24"/>
          <w:szCs w:val="24"/>
        </w:rPr>
        <w:t>Informazioni relative all'accordo sugli appalti pubblici (AAP)</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L'appalto è disciplinato dall'accordo sugli appalti pubblici: sì</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IV.2)</w:t>
      </w:r>
      <w:r w:rsidR="000C699D" w:rsidRPr="005003A2">
        <w:rPr>
          <w:rFonts w:cstheme="minorHAnsi"/>
          <w:b/>
          <w:sz w:val="24"/>
          <w:szCs w:val="24"/>
        </w:rPr>
        <w:t xml:space="preserve"> </w:t>
      </w:r>
      <w:r w:rsidRPr="005003A2">
        <w:rPr>
          <w:rFonts w:cstheme="minorHAnsi"/>
          <w:b/>
          <w:sz w:val="24"/>
          <w:szCs w:val="24"/>
        </w:rPr>
        <w:t>Informazioni di carattere amministrativo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IV.2.2)</w:t>
      </w:r>
      <w:r w:rsidR="000C699D" w:rsidRPr="005003A2">
        <w:rPr>
          <w:rFonts w:cstheme="minorHAnsi"/>
          <w:b/>
          <w:sz w:val="24"/>
          <w:szCs w:val="24"/>
        </w:rPr>
        <w:t xml:space="preserve"> </w:t>
      </w:r>
      <w:r w:rsidRPr="005003A2">
        <w:rPr>
          <w:rFonts w:cstheme="minorHAnsi"/>
          <w:b/>
          <w:sz w:val="24"/>
          <w:szCs w:val="24"/>
        </w:rPr>
        <w:t>Termine per il ricevimento delle offerte o delle domande di partecipazione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Data: </w:t>
      </w:r>
      <w:r w:rsidR="00FA0037">
        <w:rPr>
          <w:rFonts w:cstheme="minorHAnsi"/>
          <w:sz w:val="24"/>
          <w:szCs w:val="24"/>
        </w:rPr>
        <w:t>23/06/2021</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Ora locale: </w:t>
      </w:r>
      <w:r w:rsidR="00EA09A7" w:rsidRPr="005003A2">
        <w:rPr>
          <w:rFonts w:cstheme="minorHAnsi"/>
          <w:sz w:val="24"/>
          <w:szCs w:val="24"/>
        </w:rPr>
        <w:t>9:00</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IV.2.3)</w:t>
      </w:r>
      <w:r w:rsidR="000C699D" w:rsidRPr="005003A2">
        <w:rPr>
          <w:rFonts w:cstheme="minorHAnsi"/>
          <w:b/>
          <w:sz w:val="24"/>
          <w:szCs w:val="24"/>
        </w:rPr>
        <w:t xml:space="preserve"> </w:t>
      </w:r>
      <w:r w:rsidRPr="005003A2">
        <w:rPr>
          <w:rFonts w:cstheme="minorHAnsi"/>
          <w:b/>
          <w:sz w:val="24"/>
          <w:szCs w:val="24"/>
        </w:rPr>
        <w:t>Data stimata di spedizione ai candidati prescelti degli inviti a presentare offerte o a partecipare</w:t>
      </w:r>
    </w:p>
    <w:p w:rsidR="009244D0" w:rsidRPr="005003A2" w:rsidRDefault="009244D0" w:rsidP="00B14526">
      <w:pPr>
        <w:spacing w:after="0" w:line="240" w:lineRule="auto"/>
        <w:jc w:val="both"/>
        <w:rPr>
          <w:rFonts w:cstheme="minorHAnsi"/>
          <w:sz w:val="24"/>
          <w:szCs w:val="24"/>
        </w:rPr>
      </w:pPr>
      <w:r w:rsidRPr="005003A2">
        <w:rPr>
          <w:rFonts w:cstheme="minorHAnsi"/>
          <w:b/>
          <w:sz w:val="24"/>
          <w:szCs w:val="24"/>
        </w:rPr>
        <w:t>IV.2.4)</w:t>
      </w:r>
      <w:r w:rsidR="000C699D" w:rsidRPr="005003A2">
        <w:rPr>
          <w:rFonts w:cstheme="minorHAnsi"/>
          <w:b/>
          <w:sz w:val="24"/>
          <w:szCs w:val="24"/>
        </w:rPr>
        <w:t xml:space="preserve"> </w:t>
      </w:r>
      <w:r w:rsidRPr="005003A2">
        <w:rPr>
          <w:rFonts w:cstheme="minorHAnsi"/>
          <w:b/>
          <w:sz w:val="24"/>
          <w:szCs w:val="24"/>
        </w:rPr>
        <w:t>Lingue utilizzabili per la presentazione delle offerte o delle domande di partecipazione:</w:t>
      </w:r>
      <w:r w:rsidR="000C699D" w:rsidRPr="005003A2">
        <w:rPr>
          <w:rFonts w:cstheme="minorHAnsi"/>
          <w:b/>
          <w:sz w:val="24"/>
          <w:szCs w:val="24"/>
        </w:rPr>
        <w:t xml:space="preserve"> </w:t>
      </w:r>
      <w:r w:rsidRPr="005003A2">
        <w:rPr>
          <w:rFonts w:cstheme="minorHAnsi"/>
          <w:sz w:val="24"/>
          <w:szCs w:val="24"/>
        </w:rPr>
        <w:t>Italiano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IV.2.6)</w:t>
      </w:r>
      <w:r w:rsidR="000C699D" w:rsidRPr="005003A2">
        <w:rPr>
          <w:rFonts w:cstheme="minorHAnsi"/>
          <w:b/>
          <w:sz w:val="24"/>
          <w:szCs w:val="24"/>
        </w:rPr>
        <w:t xml:space="preserve"> </w:t>
      </w:r>
      <w:r w:rsidRPr="005003A2">
        <w:rPr>
          <w:rFonts w:cstheme="minorHAnsi"/>
          <w:b/>
          <w:sz w:val="24"/>
          <w:szCs w:val="24"/>
        </w:rPr>
        <w:t>Periodo minimo durante il quale l'offerente è vincolato alla propria offerta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Durata in mesi: 6 (dal termine ultimo per il ricevimento delle offerte)</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IV.2.7)</w:t>
      </w:r>
      <w:r w:rsidR="000C699D" w:rsidRPr="005003A2">
        <w:rPr>
          <w:rFonts w:cstheme="minorHAnsi"/>
          <w:b/>
          <w:sz w:val="24"/>
          <w:szCs w:val="24"/>
        </w:rPr>
        <w:t xml:space="preserve"> </w:t>
      </w:r>
      <w:r w:rsidRPr="005003A2">
        <w:rPr>
          <w:rFonts w:cstheme="minorHAnsi"/>
          <w:b/>
          <w:sz w:val="24"/>
          <w:szCs w:val="24"/>
        </w:rPr>
        <w:t>Modalità di apertura delle offerte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Data: </w:t>
      </w:r>
      <w:r w:rsidR="00FA0037">
        <w:rPr>
          <w:rFonts w:cstheme="minorHAnsi"/>
          <w:sz w:val="24"/>
          <w:szCs w:val="24"/>
        </w:rPr>
        <w:t>28/06/2021</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Ora locale: </w:t>
      </w:r>
      <w:r w:rsidR="00FA0037">
        <w:rPr>
          <w:rFonts w:cstheme="minorHAnsi"/>
          <w:sz w:val="24"/>
          <w:szCs w:val="24"/>
        </w:rPr>
        <w:t>9:30</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Luogo:</w:t>
      </w:r>
      <w:r w:rsidR="000C699D" w:rsidRPr="005003A2">
        <w:rPr>
          <w:rFonts w:cstheme="minorHAnsi"/>
          <w:sz w:val="24"/>
          <w:szCs w:val="24"/>
        </w:rPr>
        <w:t xml:space="preserve"> </w:t>
      </w:r>
      <w:r w:rsidRPr="005003A2">
        <w:rPr>
          <w:rFonts w:cstheme="minorHAnsi"/>
          <w:sz w:val="24"/>
          <w:szCs w:val="24"/>
        </w:rPr>
        <w:t>Apertura telematica in video conferenza.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Informazioni relative alle persone ammesse e alla procedura di apertura: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Legali rappresentanti delle imprese interessate oppure persone munite di specifica delega, loro conferita dai suddetti legali rappresentanti.</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Sezione VI: Altre informazioni</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VI.1)</w:t>
      </w:r>
      <w:r w:rsidR="000C699D" w:rsidRPr="005003A2">
        <w:rPr>
          <w:rFonts w:cstheme="minorHAnsi"/>
          <w:b/>
          <w:sz w:val="24"/>
          <w:szCs w:val="24"/>
        </w:rPr>
        <w:t xml:space="preserve"> </w:t>
      </w:r>
      <w:r w:rsidRPr="005003A2">
        <w:rPr>
          <w:rFonts w:cstheme="minorHAnsi"/>
          <w:b/>
          <w:sz w:val="24"/>
          <w:szCs w:val="24"/>
        </w:rPr>
        <w:t>Informazioni relative alla rinnovabilità</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Si tratta di un appalto rinnovabile: 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VI.3)</w:t>
      </w:r>
      <w:r w:rsidR="000C699D" w:rsidRPr="005003A2">
        <w:rPr>
          <w:rFonts w:cstheme="minorHAnsi"/>
          <w:b/>
          <w:sz w:val="24"/>
          <w:szCs w:val="24"/>
        </w:rPr>
        <w:t xml:space="preserve"> </w:t>
      </w:r>
      <w:r w:rsidRPr="005003A2">
        <w:rPr>
          <w:rFonts w:cstheme="minorHAnsi"/>
          <w:b/>
          <w:sz w:val="24"/>
          <w:szCs w:val="24"/>
        </w:rPr>
        <w:t>Informazioni complementari: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a) la presente procedura di gara è esperita ai sensi del </w:t>
      </w:r>
      <w:r w:rsidR="00F63F09" w:rsidRPr="005003A2">
        <w:rPr>
          <w:rFonts w:cstheme="minorHAnsi"/>
          <w:sz w:val="24"/>
          <w:szCs w:val="24"/>
        </w:rPr>
        <w:t>D.lgs.</w:t>
      </w:r>
      <w:r w:rsidRPr="005003A2">
        <w:rPr>
          <w:rFonts w:cstheme="minorHAnsi"/>
          <w:sz w:val="24"/>
          <w:szCs w:val="24"/>
        </w:rPr>
        <w:t xml:space="preserve"> n. 50/2016 e s.m.i. (di seguito codice) e del D.P.R. n. 207/2010 – limitatamente alle norme ancora in vigore ai sensi dell’art. 216 del codice – nei limiti delle disposizioni applicabili ai c.d. settori speciali, nonché degli ulteriori articoli di tali decreti di volta in volta espressamente citati nella documentazione di gara;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b) si segnala pertanto, anche ai sensi di comunicato del presidente ANAC del 4.5.2016, che l'ente aggiudicatore per la dimostrazione dei requisiti in capo all'aggiudicatario non opererà attraverso AVC Pass;</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c) la gara verrà espletata in modalità completamente telematica, attraverso la piattaforma di e-procurement, raggiungibile al seguente indirizzo web: https://appalti.fnmgroup.it/PortaleAppalti.</w:t>
      </w:r>
    </w:p>
    <w:p w:rsidR="00F63F09" w:rsidRPr="005003A2" w:rsidRDefault="009244D0" w:rsidP="00B14526">
      <w:pPr>
        <w:spacing w:after="0" w:line="240" w:lineRule="auto"/>
        <w:jc w:val="both"/>
        <w:rPr>
          <w:rFonts w:cstheme="minorHAnsi"/>
          <w:sz w:val="24"/>
          <w:szCs w:val="24"/>
        </w:rPr>
      </w:pPr>
      <w:r w:rsidRPr="005003A2">
        <w:rPr>
          <w:rFonts w:cstheme="minorHAnsi"/>
          <w:sz w:val="24"/>
          <w:szCs w:val="24"/>
        </w:rPr>
        <w:t>Le imprese interessate che non fossero già in possesso di registrazione alla piattaforma dovranno preventivamente ed obbligatoriamente provvedere secondo le modalità disponibili nella sezione «istruzioni e manuali» all'indirizzo: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https://appalti.fnmgroup.it/PortaleAppalti/it/ppgare_doc_istruzioni.wp.</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Si precisa inoltre che l'abilitazione al portale è a titolo gratuito. La registrazione e la successiva abilitazione sono necessari per accedere alla sezione dedicata alla presente gara e per la presentazione della relativa domanda di partecipazione. Si invitano pertanto i concorrenti ad avviare </w:t>
      </w:r>
      <w:r w:rsidRPr="005003A2">
        <w:rPr>
          <w:rFonts w:cstheme="minorHAnsi"/>
          <w:sz w:val="24"/>
          <w:szCs w:val="24"/>
        </w:rPr>
        <w:lastRenderedPageBreak/>
        <w:t>le relative attività con largo anticipo rispetto alla scadenza prevista. Le operazioni di abilitazione, di inserimento a sistema di tutta la documentazione richiesta, nonché di trasmissione e conferma, rimangono ad esclusivo rischio del concorrente;</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d) il criterio di aggiudicazione è il criterio del «prezzo più basso» ai sensi dell’art. 95 del </w:t>
      </w:r>
      <w:r w:rsidR="00F63F09" w:rsidRPr="005003A2">
        <w:rPr>
          <w:rFonts w:cstheme="minorHAnsi"/>
          <w:sz w:val="24"/>
          <w:szCs w:val="24"/>
        </w:rPr>
        <w:t>D.lgs.</w:t>
      </w:r>
      <w:r w:rsidRPr="005003A2">
        <w:rPr>
          <w:rFonts w:cstheme="minorHAnsi"/>
          <w:sz w:val="24"/>
          <w:szCs w:val="24"/>
        </w:rPr>
        <w:t xml:space="preserve"> n. 50/2016;</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e) è possibile ottenere chiarimenti sulla presente procedura mediante la proposizione di quesiti scritti, formulati esclusivamente in lingua italiana, da inoltrare entro 15 g.n.c. dal termine fissato per la presentazione delle offerte tramite la funzionalità «comunicazioni» della piattaforma; i chiarimenti e/o eventuali ulteriori informazioni sostanziali in merito alla presente procedura saranno resi disponibili in piattaforma e costituiranno parte integrante della documentazione di gara.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Non saranno prese in considerazione richieste di chiarimenti pervenute telefonicamente o comunque con modalità diverse da quelle sopra indicate o formulate successivamente al termine sopra indicato;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f) il presente bando non vincola in alcun modo la società che si riserva di annullare in qualsiasi momento la gara, né determinano pertanto l’insorgere di eventuali diritti e aspettative di sorta al riguardo da parte degli offerenti;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g) qualora i dati oggetto di trattamento da parte della stazione appaltante dovessero rientrare nell'ambito di applicazione della vigente normativa in materia di protezione dei dati personali, la stazione appaltante informa i concorrenti che i dati personali di quest’ultimo verranno trattati in conformità a quanto indicato nell'informativa</w:t>
      </w:r>
      <w:r w:rsidR="000C699D" w:rsidRPr="005003A2">
        <w:rPr>
          <w:rFonts w:cstheme="minorHAnsi"/>
          <w:sz w:val="24"/>
          <w:szCs w:val="24"/>
        </w:rPr>
        <w:t xml:space="preserve"> </w:t>
      </w:r>
      <w:r w:rsidRPr="005003A2">
        <w:rPr>
          <w:rFonts w:cstheme="minorHAnsi"/>
          <w:sz w:val="24"/>
          <w:szCs w:val="24"/>
        </w:rPr>
        <w:t>ex articolo 13 del regolamento generale sulla protezione dei dati, regolamento (UE) 2016/679 (di seguito, il «regolamento») in allegato al disciplinare di gara.</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h) Responsabile del procedimento, per la programmazione: dott. Gianluca Signorini;</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Responsabile del procedimento per la fase dell’affidamento: </w:t>
      </w:r>
      <w:r w:rsidR="00254C95" w:rsidRPr="005003A2">
        <w:rPr>
          <w:rFonts w:cstheme="minorHAnsi"/>
          <w:sz w:val="24"/>
          <w:szCs w:val="24"/>
        </w:rPr>
        <w:t>dott. Gianluca Signorini</w:t>
      </w:r>
      <w:r w:rsidRPr="005003A2">
        <w:rPr>
          <w:rFonts w:cstheme="minorHAnsi"/>
          <w:sz w:val="24"/>
          <w:szCs w:val="24"/>
        </w:rPr>
        <w:t>;</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 xml:space="preserve">Responsabile del procedimento, per la fase di esecuzione: </w:t>
      </w:r>
      <w:r w:rsidR="00254C95" w:rsidRPr="005003A2">
        <w:rPr>
          <w:rFonts w:cstheme="minorHAnsi"/>
          <w:sz w:val="24"/>
          <w:szCs w:val="24"/>
        </w:rPr>
        <w:t>dott. Gianluca Signorini</w:t>
      </w:r>
      <w:r w:rsidRPr="005003A2">
        <w:rPr>
          <w:rFonts w:cstheme="minorHAnsi"/>
          <w:sz w:val="24"/>
          <w:szCs w:val="24"/>
        </w:rPr>
        <w:t>;</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Responsabile accesso agli atti: avv. Monica Giugliano.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VI.4)</w:t>
      </w:r>
      <w:r w:rsidR="000C699D" w:rsidRPr="005003A2">
        <w:rPr>
          <w:rFonts w:cstheme="minorHAnsi"/>
          <w:b/>
          <w:sz w:val="24"/>
          <w:szCs w:val="24"/>
        </w:rPr>
        <w:t xml:space="preserve"> </w:t>
      </w:r>
      <w:r w:rsidRPr="005003A2">
        <w:rPr>
          <w:rFonts w:cstheme="minorHAnsi"/>
          <w:b/>
          <w:sz w:val="24"/>
          <w:szCs w:val="24"/>
        </w:rPr>
        <w:t>Procedure di ricorso</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VI.4.1)</w:t>
      </w:r>
      <w:r w:rsidR="000C699D" w:rsidRPr="005003A2">
        <w:rPr>
          <w:rFonts w:cstheme="minorHAnsi"/>
          <w:b/>
          <w:sz w:val="24"/>
          <w:szCs w:val="24"/>
        </w:rPr>
        <w:t xml:space="preserve"> </w:t>
      </w:r>
      <w:r w:rsidRPr="005003A2">
        <w:rPr>
          <w:rFonts w:cstheme="minorHAnsi"/>
          <w:b/>
          <w:sz w:val="24"/>
          <w:szCs w:val="24"/>
        </w:rPr>
        <w:t>Organismo responsabile delle procedure di ricorso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Denominazione ufficiale: T.A.R. LOMBARDIA</w:t>
      </w:r>
      <w:r w:rsidR="000C699D" w:rsidRPr="005003A2">
        <w:rPr>
          <w:rFonts w:cstheme="minorHAnsi"/>
          <w:sz w:val="24"/>
          <w:szCs w:val="24"/>
        </w:rPr>
        <w:t xml:space="preserve"> </w:t>
      </w:r>
      <w:r w:rsidRPr="005003A2">
        <w:rPr>
          <w:rFonts w:cstheme="minorHAnsi"/>
          <w:sz w:val="24"/>
          <w:szCs w:val="24"/>
        </w:rPr>
        <w:t>Città: MILANO</w:t>
      </w:r>
      <w:r w:rsidR="000C699D" w:rsidRPr="005003A2">
        <w:rPr>
          <w:rFonts w:cstheme="minorHAnsi"/>
          <w:sz w:val="24"/>
          <w:szCs w:val="24"/>
        </w:rPr>
        <w:t xml:space="preserve"> </w:t>
      </w:r>
      <w:r w:rsidRPr="005003A2">
        <w:rPr>
          <w:rFonts w:cstheme="minorHAnsi"/>
          <w:sz w:val="24"/>
          <w:szCs w:val="24"/>
        </w:rPr>
        <w:t>Paese: Italia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VI.4.3)</w:t>
      </w:r>
      <w:r w:rsidR="000C699D" w:rsidRPr="005003A2">
        <w:rPr>
          <w:rFonts w:cstheme="minorHAnsi"/>
          <w:b/>
          <w:sz w:val="24"/>
          <w:szCs w:val="24"/>
        </w:rPr>
        <w:t xml:space="preserve"> </w:t>
      </w:r>
      <w:r w:rsidRPr="005003A2">
        <w:rPr>
          <w:rFonts w:cstheme="minorHAnsi"/>
          <w:b/>
          <w:sz w:val="24"/>
          <w:szCs w:val="24"/>
        </w:rPr>
        <w:t>Procedure di ricorso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Informazioni dettagliate sui termini di presentazione dei ricorsi:</w:t>
      </w:r>
      <w:r w:rsidR="000C699D" w:rsidRPr="005003A2">
        <w:rPr>
          <w:rFonts w:cstheme="minorHAnsi"/>
          <w:sz w:val="24"/>
          <w:szCs w:val="24"/>
        </w:rPr>
        <w:t xml:space="preserve"> </w:t>
      </w:r>
      <w:r w:rsidRPr="005003A2">
        <w:rPr>
          <w:rFonts w:cstheme="minorHAnsi"/>
          <w:sz w:val="24"/>
          <w:szCs w:val="24"/>
        </w:rPr>
        <w:t>TAR Lombardia</w:t>
      </w:r>
      <w:r w:rsidR="000C699D" w:rsidRPr="005003A2">
        <w:rPr>
          <w:rFonts w:cstheme="minorHAnsi"/>
          <w:sz w:val="24"/>
          <w:szCs w:val="24"/>
        </w:rPr>
        <w:t xml:space="preserve"> -  </w:t>
      </w:r>
      <w:r w:rsidRPr="005003A2">
        <w:rPr>
          <w:rFonts w:cstheme="minorHAnsi"/>
          <w:sz w:val="24"/>
          <w:szCs w:val="24"/>
        </w:rPr>
        <w:t>Milano</w:t>
      </w:r>
      <w:r w:rsidR="000C699D" w:rsidRPr="005003A2">
        <w:rPr>
          <w:rFonts w:cstheme="minorHAnsi"/>
          <w:sz w:val="24"/>
          <w:szCs w:val="24"/>
        </w:rPr>
        <w:t xml:space="preserve"> - I</w:t>
      </w:r>
      <w:r w:rsidRPr="005003A2">
        <w:rPr>
          <w:rFonts w:cstheme="minorHAnsi"/>
          <w:sz w:val="24"/>
          <w:szCs w:val="24"/>
        </w:rPr>
        <w:t>talia</w:t>
      </w:r>
    </w:p>
    <w:p w:rsidR="009244D0" w:rsidRPr="005003A2" w:rsidRDefault="009244D0" w:rsidP="00B14526">
      <w:pPr>
        <w:spacing w:after="0" w:line="240" w:lineRule="auto"/>
        <w:jc w:val="both"/>
        <w:rPr>
          <w:rFonts w:cstheme="minorHAnsi"/>
          <w:b/>
          <w:sz w:val="24"/>
          <w:szCs w:val="24"/>
        </w:rPr>
      </w:pPr>
      <w:r w:rsidRPr="005003A2">
        <w:rPr>
          <w:rFonts w:cstheme="minorHAnsi"/>
          <w:b/>
          <w:sz w:val="24"/>
          <w:szCs w:val="24"/>
        </w:rPr>
        <w:t>VI.4.4)</w:t>
      </w:r>
      <w:r w:rsidR="000C699D" w:rsidRPr="005003A2">
        <w:rPr>
          <w:rFonts w:cstheme="minorHAnsi"/>
          <w:b/>
          <w:sz w:val="24"/>
          <w:szCs w:val="24"/>
        </w:rPr>
        <w:t xml:space="preserve"> </w:t>
      </w:r>
      <w:r w:rsidRPr="005003A2">
        <w:rPr>
          <w:rFonts w:cstheme="minorHAnsi"/>
          <w:b/>
          <w:sz w:val="24"/>
          <w:szCs w:val="24"/>
        </w:rPr>
        <w:t>Servizio presso il quale sono disponibili informazioni sulle procedure di ricorso</w:t>
      </w:r>
    </w:p>
    <w:p w:rsidR="009244D0" w:rsidRPr="005003A2" w:rsidRDefault="009244D0" w:rsidP="00B14526">
      <w:pPr>
        <w:spacing w:after="0" w:line="240" w:lineRule="auto"/>
        <w:jc w:val="both"/>
        <w:rPr>
          <w:rFonts w:cstheme="minorHAnsi"/>
          <w:sz w:val="24"/>
          <w:szCs w:val="24"/>
        </w:rPr>
      </w:pPr>
      <w:r w:rsidRPr="005003A2">
        <w:rPr>
          <w:rFonts w:cstheme="minorHAnsi"/>
          <w:sz w:val="24"/>
          <w:szCs w:val="24"/>
        </w:rPr>
        <w:t>Denominazione ufficiale: TAR LOMBARDIA</w:t>
      </w:r>
      <w:r w:rsidR="000C699D" w:rsidRPr="005003A2">
        <w:rPr>
          <w:rFonts w:cstheme="minorHAnsi"/>
          <w:sz w:val="24"/>
          <w:szCs w:val="24"/>
        </w:rPr>
        <w:t xml:space="preserve"> - </w:t>
      </w:r>
      <w:r w:rsidRPr="005003A2">
        <w:rPr>
          <w:rFonts w:cstheme="minorHAnsi"/>
          <w:sz w:val="24"/>
          <w:szCs w:val="24"/>
        </w:rPr>
        <w:t>Città: MILANO</w:t>
      </w:r>
      <w:r w:rsidR="000C699D" w:rsidRPr="005003A2">
        <w:rPr>
          <w:rFonts w:cstheme="minorHAnsi"/>
          <w:sz w:val="24"/>
          <w:szCs w:val="24"/>
        </w:rPr>
        <w:t xml:space="preserve"> - </w:t>
      </w:r>
      <w:r w:rsidRPr="005003A2">
        <w:rPr>
          <w:rFonts w:cstheme="minorHAnsi"/>
          <w:sz w:val="24"/>
          <w:szCs w:val="24"/>
        </w:rPr>
        <w:t>Paese: Italia</w:t>
      </w:r>
    </w:p>
    <w:p w:rsidR="00D30C0B" w:rsidRPr="005003A2" w:rsidRDefault="009244D0" w:rsidP="00B14526">
      <w:pPr>
        <w:spacing w:after="0" w:line="240" w:lineRule="auto"/>
        <w:jc w:val="both"/>
        <w:rPr>
          <w:rFonts w:cstheme="minorHAnsi"/>
          <w:b/>
          <w:sz w:val="24"/>
          <w:szCs w:val="24"/>
        </w:rPr>
      </w:pPr>
      <w:r w:rsidRPr="005003A2">
        <w:rPr>
          <w:rFonts w:cstheme="minorHAnsi"/>
          <w:b/>
          <w:sz w:val="24"/>
          <w:szCs w:val="24"/>
        </w:rPr>
        <w:t>VI.5)</w:t>
      </w:r>
      <w:r w:rsidR="000C699D" w:rsidRPr="005003A2">
        <w:rPr>
          <w:rFonts w:cstheme="minorHAnsi"/>
          <w:b/>
          <w:sz w:val="24"/>
          <w:szCs w:val="24"/>
        </w:rPr>
        <w:t xml:space="preserve"> </w:t>
      </w:r>
      <w:r w:rsidRPr="005003A2">
        <w:rPr>
          <w:rFonts w:cstheme="minorHAnsi"/>
          <w:b/>
          <w:sz w:val="24"/>
          <w:szCs w:val="24"/>
        </w:rPr>
        <w:t>Data di spedizione del presente avviso:</w:t>
      </w:r>
      <w:r w:rsidR="00260E52">
        <w:rPr>
          <w:rFonts w:cstheme="minorHAnsi"/>
          <w:b/>
          <w:sz w:val="24"/>
          <w:szCs w:val="24"/>
        </w:rPr>
        <w:t xml:space="preserve"> 18/05/2021</w:t>
      </w:r>
      <w:bookmarkStart w:id="0" w:name="_GoBack"/>
      <w:bookmarkEnd w:id="0"/>
    </w:p>
    <w:p w:rsidR="00781FAC" w:rsidRPr="005003A2" w:rsidRDefault="00781FAC" w:rsidP="00B14526">
      <w:pPr>
        <w:spacing w:after="0" w:line="240" w:lineRule="auto"/>
        <w:jc w:val="both"/>
        <w:rPr>
          <w:rFonts w:cstheme="minorHAnsi"/>
          <w:sz w:val="24"/>
          <w:szCs w:val="24"/>
        </w:rPr>
      </w:pPr>
    </w:p>
    <w:p w:rsidR="00781FAC" w:rsidRPr="005003A2" w:rsidRDefault="00781FAC" w:rsidP="00B14526">
      <w:pPr>
        <w:spacing w:after="0" w:line="240" w:lineRule="auto"/>
        <w:jc w:val="both"/>
        <w:rPr>
          <w:rFonts w:cstheme="minorHAnsi"/>
          <w:sz w:val="24"/>
          <w:szCs w:val="24"/>
        </w:rPr>
      </w:pPr>
    </w:p>
    <w:p w:rsidR="00781FAC" w:rsidRPr="005003A2" w:rsidRDefault="00781FAC" w:rsidP="00B14526">
      <w:pPr>
        <w:autoSpaceDE w:val="0"/>
        <w:autoSpaceDN w:val="0"/>
        <w:adjustRightInd w:val="0"/>
        <w:spacing w:after="0" w:line="240" w:lineRule="auto"/>
        <w:ind w:left="4248" w:firstLine="708"/>
        <w:rPr>
          <w:rFonts w:cstheme="minorHAnsi"/>
          <w:b/>
          <w:sz w:val="24"/>
          <w:szCs w:val="24"/>
        </w:rPr>
      </w:pPr>
      <w:r w:rsidRPr="005003A2">
        <w:rPr>
          <w:rFonts w:cstheme="minorHAnsi"/>
          <w:b/>
          <w:sz w:val="24"/>
          <w:szCs w:val="24"/>
        </w:rPr>
        <w:t>IL DIRETTORE GENERALE</w:t>
      </w:r>
    </w:p>
    <w:p w:rsidR="00781FAC" w:rsidRPr="005003A2" w:rsidRDefault="00F63F09" w:rsidP="00B14526">
      <w:pPr>
        <w:autoSpaceDE w:val="0"/>
        <w:autoSpaceDN w:val="0"/>
        <w:adjustRightInd w:val="0"/>
        <w:spacing w:after="0" w:line="240" w:lineRule="auto"/>
        <w:ind w:left="4248" w:firstLine="708"/>
        <w:rPr>
          <w:rFonts w:cstheme="minorHAnsi"/>
          <w:b/>
          <w:sz w:val="24"/>
          <w:szCs w:val="24"/>
        </w:rPr>
      </w:pPr>
      <w:r w:rsidRPr="005003A2">
        <w:rPr>
          <w:rFonts w:eastAsia="Times New Roman" w:cstheme="minorHAnsi"/>
          <w:b/>
          <w:sz w:val="24"/>
          <w:szCs w:val="24"/>
          <w:lang w:eastAsia="it-IT"/>
        </w:rPr>
        <w:t xml:space="preserve">DOTT. </w:t>
      </w:r>
      <w:r w:rsidR="00781FAC" w:rsidRPr="005003A2">
        <w:rPr>
          <w:rFonts w:eastAsia="Times New Roman" w:cstheme="minorHAnsi"/>
          <w:b/>
          <w:sz w:val="24"/>
          <w:szCs w:val="24"/>
          <w:lang w:eastAsia="it-IT"/>
        </w:rPr>
        <w:t>ENRICO BELLAVITA</w:t>
      </w:r>
    </w:p>
    <w:p w:rsidR="00EF47B4" w:rsidRPr="005003A2" w:rsidRDefault="00EF47B4" w:rsidP="00B14526">
      <w:pPr>
        <w:spacing w:after="0" w:line="240" w:lineRule="auto"/>
        <w:jc w:val="both"/>
        <w:rPr>
          <w:rFonts w:cstheme="minorHAnsi"/>
          <w:sz w:val="24"/>
          <w:szCs w:val="24"/>
        </w:rPr>
      </w:pPr>
    </w:p>
    <w:p w:rsidR="00EF47B4" w:rsidRPr="005003A2" w:rsidRDefault="00EF47B4" w:rsidP="00B14526">
      <w:pPr>
        <w:spacing w:after="0" w:line="240" w:lineRule="auto"/>
        <w:jc w:val="both"/>
        <w:rPr>
          <w:rFonts w:cstheme="minorHAnsi"/>
          <w:sz w:val="24"/>
          <w:szCs w:val="24"/>
        </w:rPr>
      </w:pPr>
    </w:p>
    <w:p w:rsidR="00EF47B4" w:rsidRPr="005003A2" w:rsidRDefault="00EF47B4" w:rsidP="00B14526">
      <w:pPr>
        <w:spacing w:after="0" w:line="240" w:lineRule="auto"/>
        <w:jc w:val="both"/>
        <w:rPr>
          <w:rFonts w:cstheme="minorHAnsi"/>
          <w:sz w:val="24"/>
          <w:szCs w:val="24"/>
        </w:rPr>
      </w:pPr>
    </w:p>
    <w:p w:rsidR="00EF47B4" w:rsidRPr="005003A2" w:rsidRDefault="00EF47B4" w:rsidP="00B14526">
      <w:pPr>
        <w:spacing w:after="0" w:line="240" w:lineRule="auto"/>
        <w:jc w:val="both"/>
        <w:rPr>
          <w:rFonts w:cstheme="minorHAnsi"/>
          <w:sz w:val="24"/>
          <w:szCs w:val="24"/>
        </w:rPr>
      </w:pPr>
    </w:p>
    <w:p w:rsidR="00EF47B4" w:rsidRDefault="00EF47B4" w:rsidP="00B14526">
      <w:pPr>
        <w:spacing w:after="0" w:line="240" w:lineRule="auto"/>
        <w:jc w:val="both"/>
        <w:rPr>
          <w:rFonts w:cstheme="minorHAnsi"/>
          <w:sz w:val="24"/>
          <w:szCs w:val="24"/>
        </w:rPr>
      </w:pPr>
    </w:p>
    <w:p w:rsidR="00552613" w:rsidRPr="005003A2" w:rsidRDefault="00552613" w:rsidP="00B14526">
      <w:pPr>
        <w:spacing w:after="0" w:line="240" w:lineRule="auto"/>
        <w:jc w:val="both"/>
        <w:rPr>
          <w:rFonts w:cstheme="minorHAnsi"/>
          <w:sz w:val="24"/>
          <w:szCs w:val="24"/>
        </w:rPr>
      </w:pPr>
    </w:p>
    <w:p w:rsidR="00EF47B4" w:rsidRPr="005003A2" w:rsidRDefault="00EF47B4" w:rsidP="00B14526">
      <w:pPr>
        <w:spacing w:after="0" w:line="240" w:lineRule="auto"/>
        <w:jc w:val="both"/>
        <w:rPr>
          <w:rFonts w:cstheme="minorHAnsi"/>
          <w:sz w:val="24"/>
          <w:szCs w:val="24"/>
        </w:rPr>
      </w:pPr>
    </w:p>
    <w:p w:rsidR="00EF47B4" w:rsidRPr="005003A2" w:rsidRDefault="00EF47B4" w:rsidP="00B14526">
      <w:pPr>
        <w:spacing w:after="0" w:line="240" w:lineRule="auto"/>
        <w:jc w:val="both"/>
        <w:rPr>
          <w:rFonts w:cstheme="minorHAnsi"/>
          <w:sz w:val="24"/>
          <w:szCs w:val="24"/>
        </w:rPr>
      </w:pPr>
      <w:r w:rsidRPr="005003A2">
        <w:rPr>
          <w:rFonts w:cstheme="minorHAnsi"/>
          <w:sz w:val="24"/>
          <w:szCs w:val="24"/>
        </w:rPr>
        <w:t>EG/ip</w:t>
      </w:r>
    </w:p>
    <w:p w:rsidR="00781FAC" w:rsidRPr="005003A2" w:rsidRDefault="00BE2C53" w:rsidP="00B14526">
      <w:pPr>
        <w:spacing w:after="0" w:line="240" w:lineRule="auto"/>
        <w:jc w:val="both"/>
        <w:rPr>
          <w:rFonts w:cstheme="minorHAnsi"/>
          <w:sz w:val="24"/>
          <w:szCs w:val="24"/>
        </w:rPr>
      </w:pPr>
      <w:r w:rsidRPr="005003A2">
        <w:rPr>
          <w:rFonts w:cstheme="minorHAnsi"/>
          <w:sz w:val="24"/>
          <w:szCs w:val="24"/>
        </w:rPr>
        <w:t>13</w:t>
      </w:r>
      <w:r w:rsidR="00446DE8" w:rsidRPr="005003A2">
        <w:rPr>
          <w:rFonts w:cstheme="minorHAnsi"/>
          <w:sz w:val="24"/>
          <w:szCs w:val="24"/>
        </w:rPr>
        <w:t>/05</w:t>
      </w:r>
      <w:r w:rsidR="00EF47B4" w:rsidRPr="005003A2">
        <w:rPr>
          <w:rFonts w:cstheme="minorHAnsi"/>
          <w:sz w:val="24"/>
          <w:szCs w:val="24"/>
        </w:rPr>
        <w:t>/2021</w:t>
      </w:r>
    </w:p>
    <w:sectPr w:rsidR="00781FAC" w:rsidRPr="005003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75" w:rsidRDefault="00267275" w:rsidP="00EF47B4">
      <w:pPr>
        <w:spacing w:after="0" w:line="240" w:lineRule="auto"/>
      </w:pPr>
      <w:r>
        <w:separator/>
      </w:r>
    </w:p>
  </w:endnote>
  <w:endnote w:type="continuationSeparator" w:id="0">
    <w:p w:rsidR="00267275" w:rsidRDefault="00267275" w:rsidP="00EF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75" w:rsidRDefault="00267275" w:rsidP="00EF47B4">
      <w:pPr>
        <w:spacing w:after="0" w:line="240" w:lineRule="auto"/>
      </w:pPr>
      <w:r>
        <w:separator/>
      </w:r>
    </w:p>
  </w:footnote>
  <w:footnote w:type="continuationSeparator" w:id="0">
    <w:p w:rsidR="00267275" w:rsidRDefault="00267275" w:rsidP="00EF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5DA"/>
    <w:multiLevelType w:val="hybridMultilevel"/>
    <w:tmpl w:val="AF4CA0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B97166"/>
    <w:multiLevelType w:val="hybridMultilevel"/>
    <w:tmpl w:val="443C00C2"/>
    <w:lvl w:ilvl="0" w:tplc="8638BA4A">
      <w:start w:val="1"/>
      <w:numFmt w:val="lowerLetter"/>
      <w:lvlText w:val="%1)"/>
      <w:lvlJc w:val="left"/>
      <w:pPr>
        <w:ind w:left="720" w:hanging="360"/>
      </w:pPr>
      <w:rPr>
        <w:rFonts w:asciiTheme="minorHAnsi" w:eastAsiaTheme="minorHAnsi" w:hAnsiTheme="minorHAnsi"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6656A0"/>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D0"/>
    <w:rsid w:val="000304B6"/>
    <w:rsid w:val="0003753C"/>
    <w:rsid w:val="000C699D"/>
    <w:rsid w:val="000E5D6C"/>
    <w:rsid w:val="000F064C"/>
    <w:rsid w:val="00125DAD"/>
    <w:rsid w:val="00133FBC"/>
    <w:rsid w:val="00170BAE"/>
    <w:rsid w:val="001F0732"/>
    <w:rsid w:val="00254C95"/>
    <w:rsid w:val="00260E52"/>
    <w:rsid w:val="00267275"/>
    <w:rsid w:val="00275A02"/>
    <w:rsid w:val="002873D7"/>
    <w:rsid w:val="0029286A"/>
    <w:rsid w:val="002E6685"/>
    <w:rsid w:val="003640E3"/>
    <w:rsid w:val="003642D3"/>
    <w:rsid w:val="00375A40"/>
    <w:rsid w:val="003E718C"/>
    <w:rsid w:val="00412B6E"/>
    <w:rsid w:val="00446DE8"/>
    <w:rsid w:val="004543C4"/>
    <w:rsid w:val="00463BFE"/>
    <w:rsid w:val="00471DF4"/>
    <w:rsid w:val="004801E3"/>
    <w:rsid w:val="004C7D8F"/>
    <w:rsid w:val="004F685B"/>
    <w:rsid w:val="005003A2"/>
    <w:rsid w:val="00552613"/>
    <w:rsid w:val="005B71D0"/>
    <w:rsid w:val="005D1944"/>
    <w:rsid w:val="005E5185"/>
    <w:rsid w:val="00613E73"/>
    <w:rsid w:val="00653A13"/>
    <w:rsid w:val="006573BB"/>
    <w:rsid w:val="00661B9E"/>
    <w:rsid w:val="00741BF0"/>
    <w:rsid w:val="007663A1"/>
    <w:rsid w:val="00781FAC"/>
    <w:rsid w:val="0079253C"/>
    <w:rsid w:val="007A3964"/>
    <w:rsid w:val="007A4D01"/>
    <w:rsid w:val="007E13B9"/>
    <w:rsid w:val="00856981"/>
    <w:rsid w:val="00864D76"/>
    <w:rsid w:val="008737DC"/>
    <w:rsid w:val="008849AD"/>
    <w:rsid w:val="008F7189"/>
    <w:rsid w:val="009041FD"/>
    <w:rsid w:val="009244D0"/>
    <w:rsid w:val="00927A53"/>
    <w:rsid w:val="00953AAF"/>
    <w:rsid w:val="00AA41B9"/>
    <w:rsid w:val="00AD75FB"/>
    <w:rsid w:val="00AE5BB1"/>
    <w:rsid w:val="00AF6C09"/>
    <w:rsid w:val="00B14526"/>
    <w:rsid w:val="00B50475"/>
    <w:rsid w:val="00B7154D"/>
    <w:rsid w:val="00BA34B6"/>
    <w:rsid w:val="00BE2C53"/>
    <w:rsid w:val="00BF33B7"/>
    <w:rsid w:val="00C420B7"/>
    <w:rsid w:val="00C768AF"/>
    <w:rsid w:val="00C86FAF"/>
    <w:rsid w:val="00C913E4"/>
    <w:rsid w:val="00CA5451"/>
    <w:rsid w:val="00D30C0B"/>
    <w:rsid w:val="00D709E6"/>
    <w:rsid w:val="00E50699"/>
    <w:rsid w:val="00E64444"/>
    <w:rsid w:val="00E93D7C"/>
    <w:rsid w:val="00EA09A7"/>
    <w:rsid w:val="00EA3EB5"/>
    <w:rsid w:val="00EC1102"/>
    <w:rsid w:val="00EC7A6A"/>
    <w:rsid w:val="00EF47B4"/>
    <w:rsid w:val="00F439EF"/>
    <w:rsid w:val="00F50177"/>
    <w:rsid w:val="00F63F09"/>
    <w:rsid w:val="00F70C6B"/>
    <w:rsid w:val="00F70CB3"/>
    <w:rsid w:val="00F710A1"/>
    <w:rsid w:val="00F72762"/>
    <w:rsid w:val="00F7584E"/>
    <w:rsid w:val="00FA0037"/>
    <w:rsid w:val="00FC1AF0"/>
    <w:rsid w:val="00FD3BB6"/>
    <w:rsid w:val="00FD6D50"/>
    <w:rsid w:val="00FE0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2D3C"/>
  <w15:chartTrackingRefBased/>
  <w15:docId w15:val="{03F08C67-A490-4F59-A3FA-DD056804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7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47B4"/>
  </w:style>
  <w:style w:type="paragraph" w:styleId="Pidipagina">
    <w:name w:val="footer"/>
    <w:basedOn w:val="Normale"/>
    <w:link w:val="PidipaginaCarattere"/>
    <w:uiPriority w:val="99"/>
    <w:unhideWhenUsed/>
    <w:rsid w:val="00EF47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7B4"/>
  </w:style>
  <w:style w:type="paragraph" w:customStyle="1" w:styleId="Default">
    <w:name w:val="Default"/>
    <w:rsid w:val="00B14526"/>
    <w:pPr>
      <w:autoSpaceDE w:val="0"/>
      <w:autoSpaceDN w:val="0"/>
      <w:adjustRightInd w:val="0"/>
      <w:spacing w:after="0" w:line="240" w:lineRule="auto"/>
    </w:pPr>
    <w:rPr>
      <w:rFonts w:ascii="Book Antiqua" w:hAnsi="Book Antiqua" w:cs="Book Antiqua"/>
      <w:color w:val="000000"/>
      <w:sz w:val="24"/>
      <w:szCs w:val="24"/>
    </w:rPr>
  </w:style>
  <w:style w:type="paragraph" w:styleId="Paragrafoelenco">
    <w:name w:val="List Paragraph"/>
    <w:basedOn w:val="Normale"/>
    <w:uiPriority w:val="34"/>
    <w:qFormat/>
    <w:rsid w:val="0079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26664">
      <w:bodyDiv w:val="1"/>
      <w:marLeft w:val="0"/>
      <w:marRight w:val="0"/>
      <w:marTop w:val="0"/>
      <w:marBottom w:val="0"/>
      <w:divBdr>
        <w:top w:val="none" w:sz="0" w:space="0" w:color="auto"/>
        <w:left w:val="none" w:sz="0" w:space="0" w:color="auto"/>
        <w:bottom w:val="none" w:sz="0" w:space="0" w:color="auto"/>
        <w:right w:val="none" w:sz="0" w:space="0" w:color="auto"/>
      </w:divBdr>
    </w:div>
    <w:div w:id="15713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ti.fnmgroup.it/PortaleAppalti" TargetMode="External"/><Relationship Id="rId3" Type="http://schemas.openxmlformats.org/officeDocument/2006/relationships/settings" Target="settings.xml"/><Relationship Id="rId7" Type="http://schemas.openxmlformats.org/officeDocument/2006/relationships/hyperlink" Target="mailto:acquisti.forniture.fnm@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alti.fnmgroup.it/PortaleAppal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1713</Words>
  <Characters>9767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Petacco Ilenia</dc:creator>
  <cp:keywords/>
  <dc:description/>
  <cp:lastModifiedBy>Petacco Ilenia</cp:lastModifiedBy>
  <cp:revision>81</cp:revision>
  <dcterms:created xsi:type="dcterms:W3CDTF">2021-03-23T13:02:00Z</dcterms:created>
  <dcterms:modified xsi:type="dcterms:W3CDTF">2021-05-18T12:34:00Z</dcterms:modified>
</cp:coreProperties>
</file>