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AVVISO BANDO DI GARA</w:t>
      </w:r>
    </w:p>
    <w:p>
      <w:pPr>
        <w:pStyle w:val="Normal"/>
        <w:rPr/>
      </w:pPr>
      <w:r>
        <w:rPr/>
        <w:t>ISTITUZIONE SCUOLE E NIDI D'INFANZIA DEL COMUNE DI REGGIO EMILIA - Sede Legale: via Guido Da Castello, 12 - 42121 Reggio nell'Emilia - Tel. 0522/456889, Fax 0522/456037.</w:t>
      </w:r>
    </w:p>
    <w:p>
      <w:pPr>
        <w:pStyle w:val="Normal"/>
        <w:rPr/>
      </w:pPr>
      <w:r>
        <w:rPr>
          <w:b w:val="false"/>
          <w:bCs w:val="false"/>
          <w:sz w:val="20"/>
          <w:szCs w:val="20"/>
        </w:rPr>
        <w:t>A</w:t>
      </w:r>
      <w:r>
        <w:rPr>
          <w:rStyle w:val="Strong"/>
          <w:rFonts w:eastAsia="Courier New" w:cs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ffidamento della gestione di dodici servizi educativi dell'infanzia nel comune di Reggio Emilia per il periodo 01/09/2021 – 30/06/2024 - CPV </w:t>
      </w:r>
      <w:r>
        <w:rPr>
          <w:rStyle w:val="Strong"/>
          <w:rFonts w:eastAsia="Courier New" w:cs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ar-SA"/>
        </w:rPr>
        <w:t>80110</w:t>
      </w:r>
      <w:r>
        <w:rPr>
          <w:rStyle w:val="Strong"/>
          <w:rFonts w:eastAsia="Courier New" w:cs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000-8 - istruzione prescolastica - allegato IX D.Lgs 50/2016: </w:t>
      </w:r>
      <w:r>
        <w:rPr>
          <w:sz w:val="20"/>
          <w:szCs w:val="20"/>
        </w:rPr>
        <w:t xml:space="preserve">LOTTO 1) Nido </w:t>
      </w:r>
      <w:r>
        <w:rPr>
          <w:b w:val="false"/>
          <w:bCs w:val="false"/>
          <w:sz w:val="20"/>
          <w:szCs w:val="20"/>
        </w:rPr>
        <w:t>Linus: €</w:t>
      </w:r>
      <w:r>
        <w:rPr>
          <w:rFonts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</w:rPr>
        <w:t>1.472.640,00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Style w:val="Strong"/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shd w:fill="auto" w:val="clear"/>
        </w:rPr>
        <w:t>8734364131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2"/>
          <w:szCs w:val="22"/>
          <w:u w:val="none"/>
        </w:rPr>
        <w:t>S00145920351202100006</w:t>
      </w:r>
      <w:r>
        <w:rPr>
          <w:b w:val="false"/>
          <w:bCs w:val="false"/>
          <w:sz w:val="20"/>
          <w:szCs w:val="20"/>
        </w:rPr>
        <w:t>; LOTTO 2) Nido Arca: €</w:t>
      </w:r>
      <w:r>
        <w:rPr>
          <w:rFonts w:cs="Arial"/>
          <w:b w:val="false"/>
          <w:bCs w:val="false"/>
          <w:color w:val="000000"/>
          <w:sz w:val="20"/>
          <w:szCs w:val="20"/>
          <w:shd w:fill="auto" w:val="clear"/>
        </w:rPr>
        <w:t>1.585.920,00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8734376B15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S00145920351202100007</w:t>
      </w:r>
      <w:r>
        <w:rPr>
          <w:b w:val="false"/>
          <w:bCs w:val="false"/>
          <w:sz w:val="20"/>
          <w:szCs w:val="20"/>
        </w:rPr>
        <w:t>; LOTTO 3) Nido Airone: €</w:t>
      </w:r>
      <w:r>
        <w:rPr>
          <w:rFonts w:cs="Arial"/>
          <w:b w:val="false"/>
          <w:bCs w:val="false"/>
          <w:color w:val="000000"/>
          <w:sz w:val="20"/>
          <w:szCs w:val="20"/>
          <w:shd w:fill="auto" w:val="clear"/>
        </w:rPr>
        <w:t>1.848.303,72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87343895D1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S00145920351202100008</w:t>
      </w:r>
      <w:r>
        <w:rPr>
          <w:b w:val="false"/>
          <w:bCs w:val="false"/>
          <w:sz w:val="20"/>
          <w:szCs w:val="20"/>
        </w:rPr>
        <w:t>; LOTTO 4) Nido-scuola Rosa Galeotti: €</w:t>
      </w:r>
      <w:r>
        <w:rPr>
          <w:rFonts w:cs="Arial"/>
          <w:b w:val="false"/>
          <w:bCs w:val="false"/>
          <w:color w:val="000000"/>
          <w:sz w:val="20"/>
          <w:szCs w:val="20"/>
          <w:shd w:fill="auto" w:val="clear"/>
        </w:rPr>
        <w:t>1.144.803,60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873439284A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S00145920351202100009</w:t>
      </w:r>
      <w:r>
        <w:rPr>
          <w:b w:val="false"/>
          <w:bCs w:val="false"/>
          <w:sz w:val="20"/>
          <w:szCs w:val="20"/>
        </w:rPr>
        <w:t>; LOTTO 5) Nido-scuola La Gabbianella: €</w:t>
      </w:r>
      <w:r>
        <w:rPr>
          <w:rFonts w:cs="Arial"/>
          <w:b w:val="false"/>
          <w:bCs w:val="false"/>
          <w:color w:val="000000"/>
          <w:sz w:val="20"/>
          <w:szCs w:val="20"/>
          <w:shd w:fill="auto" w:val="clear"/>
        </w:rPr>
        <w:t>1.311.287,01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8734400EE2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S00145920351202100010</w:t>
      </w:r>
      <w:r>
        <w:rPr>
          <w:b w:val="false"/>
          <w:bCs w:val="false"/>
          <w:sz w:val="20"/>
          <w:szCs w:val="20"/>
        </w:rPr>
        <w:t>; LOTTO 6) Scuola Claudel: €</w:t>
      </w:r>
      <w:r>
        <w:rPr>
          <w:rFonts w:cs="Arial"/>
          <w:b w:val="false"/>
          <w:bCs w:val="false"/>
          <w:color w:val="000000"/>
          <w:sz w:val="20"/>
          <w:szCs w:val="20"/>
          <w:shd w:fill="auto" w:val="clear"/>
        </w:rPr>
        <w:t>483.216,36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color w:val="auto"/>
          <w:sz w:val="20"/>
          <w:szCs w:val="20"/>
        </w:rPr>
        <w:t>87344063D9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sz w:val="20"/>
          <w:szCs w:val="20"/>
        </w:rPr>
        <w:t>S00145920351202100011</w:t>
      </w:r>
      <w:r>
        <w:rPr>
          <w:b w:val="false"/>
          <w:bCs w:val="false"/>
          <w:sz w:val="20"/>
          <w:szCs w:val="20"/>
        </w:rPr>
        <w:t>; LOTTO 7) Nido-Scuola Giobi: €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</w:rPr>
        <w:t>2.098.576,06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8734417CEA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S00145920351202100012</w:t>
      </w:r>
      <w:r>
        <w:rPr>
          <w:b w:val="false"/>
          <w:bCs w:val="false"/>
          <w:sz w:val="20"/>
          <w:szCs w:val="20"/>
        </w:rPr>
        <w:t>; LOTTO 8) Nido-scuola Faber: €</w:t>
      </w:r>
      <w:r>
        <w:rPr>
          <w:rFonts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</w:rPr>
        <w:t>1.261.015,48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8734435BC5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S00145920351202100014</w:t>
      </w:r>
      <w:r>
        <w:rPr>
          <w:b w:val="false"/>
          <w:bCs w:val="false"/>
          <w:sz w:val="20"/>
          <w:szCs w:val="20"/>
        </w:rPr>
        <w:t>; LOTTO 9) Nido-scuola Choreia: €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shd w:fill="auto" w:val="clear"/>
        </w:rPr>
        <w:t>1.346.666,40</w:t>
      </w:r>
      <w:r>
        <w:rPr>
          <w:b w:val="false"/>
          <w:bCs w:val="false"/>
          <w:sz w:val="20"/>
          <w:szCs w:val="20"/>
        </w:rPr>
        <w:t xml:space="preserve"> (CIG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8734445408</w:t>
      </w:r>
      <w:r>
        <w:rPr>
          <w:b w:val="false"/>
          <w:bCs w:val="false"/>
          <w:sz w:val="20"/>
          <w:szCs w:val="20"/>
        </w:rPr>
        <w:t xml:space="preserve">) CUI: </w:t>
      </w:r>
      <w:r>
        <w:rPr>
          <w:rFonts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</w:rPr>
        <w:t>S00145920351202100015</w:t>
      </w:r>
      <w:r>
        <w:rPr>
          <w:b w:val="false"/>
          <w:bCs w:val="false"/>
          <w:sz w:val="20"/>
          <w:szCs w:val="20"/>
        </w:rPr>
        <w:t>; LOTTO 10) Nido Maramotti: €</w:t>
      </w:r>
      <w:r>
        <w:rPr>
          <w:rFonts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>1.932.098,86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 (CIG: </w:t>
      </w:r>
      <w:r>
        <w:rPr>
          <w:rFonts w:eastAsia="Arial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87344529CD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) CUI: </w:t>
      </w:r>
      <w:r>
        <w:rPr>
          <w:rFonts w:eastAsia="Arial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shd w:fill="auto" w:val="clear"/>
        </w:rPr>
        <w:t>S00145920351202100016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; 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</w:rPr>
        <w:t>LOTTO 11) Nido-scuola Sarzi: €669.056,40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 (CIG: </w:t>
      </w:r>
      <w:r>
        <w:rPr>
          <w:rFonts w:eastAsia="Arial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873446655C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) CUI: </w:t>
      </w:r>
      <w:r>
        <w:rPr>
          <w:rFonts w:eastAsia="Arial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shd w:fill="auto" w:val="clear"/>
        </w:rPr>
        <w:t>S00145920351202000015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; 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</w:rPr>
        <w:t>LOTTO 12) Nido-scuola Haikù: €1.540.612,53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 (CIG: </w:t>
      </w:r>
      <w:r>
        <w:rPr>
          <w:rFonts w:eastAsia="Arial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</w:rPr>
        <w:t>8734473B21</w:t>
      </w:r>
      <w:r>
        <w:rPr>
          <w:rFonts w:eastAsia="Arial" w:cs="Arial"/>
          <w:b w:val="false"/>
          <w:bC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) CUI: </w:t>
      </w:r>
      <w:r>
        <w:rPr>
          <w:rFonts w:eastAsia="Arial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shd w:fill="auto" w:val="clear"/>
        </w:rPr>
        <w:t xml:space="preserve">S00145920351202000014. </w:t>
      </w:r>
      <w:r>
        <w:rPr>
          <w:sz w:val="20"/>
          <w:szCs w:val="20"/>
        </w:rPr>
        <w:t>Importo a base di gara triennale (36 mesi) €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16.694.196,42</w:t>
      </w:r>
      <w:r>
        <w:rPr>
          <w:sz w:val="20"/>
          <w:szCs w:val="20"/>
        </w:rPr>
        <w:t xml:space="preserve">(oltre IVA se dovuta), con possibilita' di rinnovo per un ulteriore triennio (36 mesi) e proroga tecnica di 4 mesi. </w:t>
      </w:r>
      <w:r>
        <w:rPr>
          <w:rFonts w:eastAsia="Courier New" w:cs="Courier New"/>
          <w:b w:val="false"/>
          <w:bCs w:val="false"/>
          <w:color w:val="000000"/>
          <w:position w:val="0"/>
          <w:sz w:val="20"/>
          <w:sz w:val="20"/>
          <w:szCs w:val="20"/>
          <w:vertAlign w:val="baseline"/>
        </w:rPr>
        <w:t>Modalità di aggiudicazione: procedura aperta ex.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 Art. 60 del D. Lgs. 50/2016. Termine ultimo per presentazione offerte: ore 12:00 d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>el 17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/06/2021. Invio/ricezione bando in GUUE: 07/05/2021 rif. Doc. 2021-061315.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Pubblicazione GURI n. 54 del 12/05/2021.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Documentazione disponibile al seguente link: </w:t>
      </w:r>
      <w:hyperlink r:id="rId2">
        <w:r>
          <w:rPr>
            <w:rStyle w:val="CollegamentoInternet"/>
            <w:rFonts w:eastAsia="Courier New" w:cs="Courier New"/>
            <w:b w:val="false"/>
            <w:i w:val="false"/>
            <w:sz w:val="20"/>
            <w:szCs w:val="20"/>
          </w:rPr>
          <w:t>https://intercenter.regione.emilia-romagna.it/servizi-imprese/bandi-altri-enti/bandi-e-avvisi-altri-enti</w:t>
        </w:r>
      </w:hyperlink>
      <w:r>
        <w:rPr>
          <w:rStyle w:val="CollegamentoInternet"/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  <w:t xml:space="preserve">. 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  <w:t xml:space="preserve">Il dirigente Servizio appalti, contratti, dott. Alberto Prampolini </w:t>
      </w:r>
    </w:p>
    <w:sectPr>
      <w:footerReference w:type="default" r:id="rId3"/>
      <w:type w:val="nextPage"/>
      <w:pgSz w:w="12240" w:h="15840"/>
      <w:pgMar w:left="1758" w:right="3028" w:header="0" w:top="1412" w:footer="0" w:bottom="1412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Book Antiqua">
    <w:charset w:val="01"/>
    <w:family w:val="swiss"/>
    <w:pitch w:val="default"/>
  </w:font>
  <w:font w:name="Times New Roman">
    <w:charset w:val="01"/>
    <w:family w:val="swiss"/>
    <w:pitch w:val="default"/>
  </w:font>
  <w:font w:name="Wingdings">
    <w:charset w:val="01"/>
    <w:family w:val="swiss"/>
    <w:pitch w:val="default"/>
  </w:font>
  <w:font w:name="Symbol">
    <w:charset w:val="01"/>
    <w:family w:val="swiss"/>
    <w:pitch w:val="default"/>
  </w:font>
  <w:font w:name="Trebuchet MS">
    <w:charset w:val="01"/>
    <w:family w:val="swiss"/>
    <w:pitch w:val="default"/>
  </w:font>
  <w:font w:name="Arial Unicode MS">
    <w:charset w:val="01"/>
    <w:family w:val="swiss"/>
    <w:pitch w:val="default"/>
  </w:font>
  <w:font w:name="Georgi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position w:val="0"/>
        <w:sz w:val="20"/>
        <w:sz w:val="20"/>
        <w:vertAlign w:val="baseline"/>
      </w:rPr>
    </w:pPr>
    <w:r>
      <w:rPr>
        <w:position w:val="0"/>
        <w:sz w:val="20"/>
        <w:sz w:val="20"/>
        <w:vertAlign w:val="baselin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lang w:val="it-IT" w:eastAsia="zh-CN" w:bidi="hi-IN"/>
      </w:rPr>
    </w:rPrDefault>
    <w:pPrDefault>
      <w:pPr/>
    </w:pPrDefault>
  </w:docDefaults>
  <w:style w:type="paragraph" w:styleId="Normal">
    <w:name w:val="Normal"/>
    <w:next w:val="LOnormal"/>
    <w:qFormat/>
    <w:pPr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1">
    <w:name w:val="Heading 1"/>
    <w:next w:val="LOnormal"/>
    <w:qFormat/>
    <w:pPr>
      <w:keepNext w:val="true"/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b/>
      <w:bCs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2">
    <w:name w:val="Heading 2"/>
    <w:next w:val="LOnormal"/>
    <w:qFormat/>
    <w:pPr>
      <w:keepNext w:val="true"/>
      <w:keepLines/>
      <w:widowControl/>
      <w:bidi w:val="0"/>
      <w:spacing w:lineRule="auto" w:line="240" w:before="360" w:after="80"/>
      <w:jc w:val="left"/>
    </w:pPr>
    <w:rPr>
      <w:rFonts w:ascii="Courier New" w:hAnsi="Courier New" w:eastAsia="Courier New" w:cs="Courier New"/>
      <w:b/>
      <w:color w:val="auto"/>
      <w:kern w:val="0"/>
      <w:sz w:val="36"/>
      <w:szCs w:val="36"/>
      <w:lang w:val="it-IT" w:eastAsia="zh-CN" w:bidi="hi-IN"/>
    </w:rPr>
  </w:style>
  <w:style w:type="paragraph" w:styleId="Titolo3">
    <w:name w:val="Heading 3"/>
    <w:next w:val="LOnormal"/>
    <w:qFormat/>
    <w:pPr>
      <w:keepNext w:val="true"/>
      <w:keepLines/>
      <w:widowControl/>
      <w:bidi w:val="0"/>
      <w:spacing w:lineRule="auto" w:line="240" w:before="280" w:after="80"/>
      <w:jc w:val="left"/>
    </w:pPr>
    <w:rPr>
      <w:rFonts w:ascii="Courier New" w:hAnsi="Courier New" w:eastAsia="Courier New" w:cs="Courier New"/>
      <w:b/>
      <w:color w:val="auto"/>
      <w:kern w:val="0"/>
      <w:sz w:val="28"/>
      <w:szCs w:val="28"/>
      <w:lang w:val="it-IT" w:eastAsia="zh-CN" w:bidi="hi-IN"/>
    </w:rPr>
  </w:style>
  <w:style w:type="paragraph" w:styleId="Titolo4">
    <w:name w:val="Heading 4"/>
    <w:basedOn w:val="Titolo"/>
    <w:next w:val="Corpodeltesto"/>
    <w:qFormat/>
    <w:pPr>
      <w:keepNext w:val="true"/>
      <w:widowControl/>
      <w:suppressAutoHyphens w:val="false"/>
      <w:bidi w:val="0"/>
      <w:spacing w:lineRule="auto" w:line="480" w:before="120" w:after="120"/>
      <w:ind w:left="0" w:right="-125" w:hanging="0"/>
      <w:jc w:val="both"/>
      <w:textAlignment w:val="top"/>
      <w:outlineLvl w:val="3"/>
    </w:pPr>
    <w:rPr>
      <w:rFonts w:ascii="Liberation Serif" w:hAnsi="Liberation Serif" w:eastAsia="SimSun" w:cs="Mangal"/>
      <w:b/>
      <w:bCs/>
      <w:spacing w:val="-22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Titolo5">
    <w:name w:val="Heading 5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4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Titolo6">
    <w:name w:val="Heading 6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5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20"/>
      <w:sz w:val="20"/>
      <w:szCs w:val="24"/>
      <w:effect w:val="none"/>
      <w:vertAlign w:val="baseline"/>
      <w:em w:val="none"/>
      <w:lang w:val="it-IT" w:eastAsia="zh-CN" w:bidi="ar-SA"/>
    </w:rPr>
  </w:style>
  <w:style w:type="character" w:styleId="WW8Num1z0">
    <w:name w:val="WW8Num1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0">
    <w:name w:val="WW8Num2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2">
    <w:name w:val="WW8Num2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3">
    <w:name w:val="WW8Num2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4">
    <w:name w:val="WW8Num2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z0">
    <w:name w:val="WW8Num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atterepredefinitoparagrafo">
    <w:name w:val="Carattere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">
    <w:name w:val="Collegamento Internet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Enfasiforte">
    <w:name w:val="Enfasi forte"/>
    <w:basedOn w:val="Caratterepredefinitoparagrafo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visitato">
    <w:name w:val="Collegamento Internet visitato"/>
    <w:basedOn w:val="Caratterepredefinitoparagrafo"/>
    <w:qFormat/>
    <w:rPr>
      <w:color w:val="800080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Strong">
    <w:name w:val="Strong"/>
    <w:qFormat/>
    <w:rPr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rFonts w:ascii="Courier New" w:hAnsi="Courier New"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11">
    <w:name w:val="ListLabel 11"/>
    <w:qFormat/>
    <w:rPr>
      <w:rFonts w:ascii="Courier New" w:hAnsi="Courier New"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12">
    <w:name w:val="ListLabel 12"/>
    <w:qFormat/>
    <w:rPr>
      <w:rFonts w:cs="Wingdings"/>
      <w:u w:val="none"/>
    </w:rPr>
  </w:style>
  <w:style w:type="character" w:styleId="ListLabel13">
    <w:name w:val="ListLabel 13"/>
    <w:qFormat/>
    <w:rPr>
      <w:rFonts w:cs="Wingdings 2"/>
      <w:u w:val="none"/>
    </w:rPr>
  </w:style>
  <w:style w:type="character" w:styleId="ListLabel14">
    <w:name w:val="ListLabel 14"/>
    <w:qFormat/>
    <w:rPr>
      <w:rFonts w:cs="OpenSymbol"/>
      <w:u w:val="none"/>
    </w:rPr>
  </w:style>
  <w:style w:type="character" w:styleId="ListLabel15">
    <w:name w:val="ListLabel 15"/>
    <w:qFormat/>
    <w:rPr>
      <w:rFonts w:cs="Wingdings"/>
      <w:u w:val="none"/>
    </w:rPr>
  </w:style>
  <w:style w:type="character" w:styleId="ListLabel16">
    <w:name w:val="ListLabel 16"/>
    <w:qFormat/>
    <w:rPr>
      <w:rFonts w:cs="Wingdings 2"/>
      <w:u w:val="none"/>
    </w:rPr>
  </w:style>
  <w:style w:type="character" w:styleId="ListLabel17">
    <w:name w:val="ListLabel 17"/>
    <w:qFormat/>
    <w:rPr>
      <w:rFonts w:cs="OpenSymbol"/>
      <w:u w:val="none"/>
    </w:rPr>
  </w:style>
  <w:style w:type="character" w:styleId="ListLabel18">
    <w:name w:val="ListLabel 18"/>
    <w:qFormat/>
    <w:rPr>
      <w:rFonts w:cs="Wingdings"/>
      <w:u w:val="none"/>
    </w:rPr>
  </w:style>
  <w:style w:type="character" w:styleId="ListLabel19">
    <w:name w:val="ListLabel 19"/>
    <w:qFormat/>
    <w:rPr>
      <w:rFonts w:cs="Wingdings 2"/>
      <w:u w:val="none"/>
    </w:rPr>
  </w:style>
  <w:style w:type="character" w:styleId="ListLabel20">
    <w:name w:val="ListLabel 20"/>
    <w:qFormat/>
    <w:rPr>
      <w:rFonts w:cs="OpenSymbol"/>
      <w:u w:val="none"/>
    </w:rPr>
  </w:style>
  <w:style w:type="character" w:styleId="ListLabel21">
    <w:name w:val="ListLabel 21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22">
    <w:name w:val="ListLabel 22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23">
    <w:name w:val="ListLabel 23"/>
    <w:qFormat/>
    <w:rPr>
      <w:rFonts w:cs="Wingdings"/>
      <w:u w:val="none"/>
    </w:rPr>
  </w:style>
  <w:style w:type="character" w:styleId="ListLabel24">
    <w:name w:val="ListLabel 24"/>
    <w:qFormat/>
    <w:rPr>
      <w:rFonts w:cs="Wingdings 2"/>
      <w:u w:val="none"/>
    </w:rPr>
  </w:style>
  <w:style w:type="character" w:styleId="ListLabel25">
    <w:name w:val="ListLabel 25"/>
    <w:qFormat/>
    <w:rPr>
      <w:rFonts w:cs="OpenSymbol"/>
      <w:u w:val="none"/>
    </w:rPr>
  </w:style>
  <w:style w:type="character" w:styleId="ListLabel26">
    <w:name w:val="ListLabel 26"/>
    <w:qFormat/>
    <w:rPr>
      <w:rFonts w:cs="Wingdings"/>
      <w:u w:val="none"/>
    </w:rPr>
  </w:style>
  <w:style w:type="character" w:styleId="ListLabel27">
    <w:name w:val="ListLabel 27"/>
    <w:qFormat/>
    <w:rPr>
      <w:rFonts w:cs="Wingdings 2"/>
      <w:u w:val="none"/>
    </w:rPr>
  </w:style>
  <w:style w:type="character" w:styleId="ListLabel28">
    <w:name w:val="ListLabel 28"/>
    <w:qFormat/>
    <w:rPr>
      <w:rFonts w:cs="OpenSymbol"/>
      <w:u w:val="none"/>
    </w:rPr>
  </w:style>
  <w:style w:type="character" w:styleId="ListLabel29">
    <w:name w:val="ListLabel 29"/>
    <w:qFormat/>
    <w:rPr>
      <w:rFonts w:cs="Wingdings"/>
      <w:u w:val="none"/>
    </w:rPr>
  </w:style>
  <w:style w:type="character" w:styleId="ListLabel30">
    <w:name w:val="ListLabel 30"/>
    <w:qFormat/>
    <w:rPr>
      <w:rFonts w:cs="Wingdings 2"/>
      <w:u w:val="none"/>
    </w:rPr>
  </w:style>
  <w:style w:type="character" w:styleId="ListLabel31">
    <w:name w:val="ListLabel 31"/>
    <w:qFormat/>
    <w:rPr>
      <w:rFonts w:cs="OpenSymbol"/>
      <w:u w:val="none"/>
    </w:rPr>
  </w:style>
  <w:style w:type="character" w:styleId="ListLabel32">
    <w:name w:val="ListLabel 3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3">
    <w:name w:val="ListLabel 3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4">
    <w:name w:val="ListLabel 3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5">
    <w:name w:val="ListLabel 3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6">
    <w:name w:val="ListLabel 36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7">
    <w:name w:val="ListLabel 37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8">
    <w:name w:val="ListLabel 38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9">
    <w:name w:val="ListLabel 39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0">
    <w:name w:val="ListLabel 40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1">
    <w:name w:val="ListLabel 41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51">
    <w:name w:val="ListLabel 51"/>
    <w:qFormat/>
    <w:rPr>
      <w:rFonts w:eastAsia="Courier New" w:cs="Courier New"/>
      <w:b w:val="false"/>
      <w:i w:val="false"/>
      <w:sz w:val="16"/>
      <w:szCs w:val="16"/>
      <w:highlight w:val="yellow"/>
    </w:rPr>
  </w:style>
  <w:style w:type="character" w:styleId="ListLabel52">
    <w:name w:val="ListLabel 52"/>
    <w:qFormat/>
    <w:rPr>
      <w:rFonts w:eastAsia="Courier New" w:cs="Courier New"/>
      <w:b w:val="false"/>
      <w:i w:val="false"/>
      <w:sz w:val="20"/>
      <w:szCs w:val="20"/>
    </w:rPr>
  </w:style>
  <w:style w:type="character" w:styleId="ListLabel53">
    <w:name w:val="ListLabel 53"/>
    <w:qFormat/>
    <w:rPr>
      <w:rFonts w:eastAsia="Courier New" w:cs="Courier New"/>
      <w:b w:val="false"/>
      <w:i w:val="false"/>
      <w:sz w:val="20"/>
      <w:szCs w:val="20"/>
    </w:rPr>
  </w:style>
  <w:style w:type="character" w:styleId="ListLabel54">
    <w:name w:val="ListLabel 54"/>
    <w:qFormat/>
    <w:rPr>
      <w:rFonts w:eastAsia="Courier New" w:cs="Courier New"/>
      <w:b w:val="false"/>
      <w:i w:val="false"/>
      <w:sz w:val="20"/>
      <w:szCs w:val="20"/>
    </w:rPr>
  </w:style>
  <w:style w:type="character" w:styleId="ListLabel55">
    <w:name w:val="ListLabel 55"/>
    <w:qFormat/>
    <w:rPr>
      <w:rFonts w:eastAsia="Courier New" w:cs="Courier New"/>
      <w:b w:val="false"/>
      <w:i w:val="false"/>
      <w:sz w:val="20"/>
      <w:szCs w:val="20"/>
    </w:rPr>
  </w:style>
  <w:style w:type="character" w:styleId="ListLabel56">
    <w:name w:val="ListLabel 56"/>
    <w:qFormat/>
    <w:rPr>
      <w:rFonts w:eastAsia="Courier New" w:cs="Courier New"/>
      <w:b w:val="false"/>
      <w:i w:val="false"/>
      <w:sz w:val="20"/>
      <w:szCs w:val="20"/>
    </w:rPr>
  </w:style>
  <w:style w:type="character" w:styleId="ListLabel57">
    <w:name w:val="ListLabel 57"/>
    <w:qFormat/>
    <w:rPr>
      <w:rFonts w:eastAsia="Courier New" w:cs="Courier New"/>
      <w:b w:val="false"/>
      <w:i w:val="false"/>
      <w:sz w:val="20"/>
      <w:szCs w:val="20"/>
    </w:rPr>
  </w:style>
  <w:style w:type="character" w:styleId="ListLabel58">
    <w:name w:val="ListLabel 58"/>
    <w:qFormat/>
    <w:rPr>
      <w:rFonts w:eastAsia="Courier New" w:cs="Courier New"/>
      <w:b w:val="false"/>
      <w:i w:val="false"/>
      <w:sz w:val="20"/>
      <w:szCs w:val="20"/>
    </w:rPr>
  </w:style>
  <w:style w:type="character" w:styleId="ListLabel59">
    <w:name w:val="ListLabel 59"/>
    <w:qFormat/>
    <w:rPr>
      <w:rFonts w:eastAsia="Courier New" w:cs="Courier New"/>
      <w:b w:val="false"/>
      <w:i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60">
    <w:name w:val="ListLabel 60"/>
    <w:qFormat/>
    <w:rPr>
      <w:rFonts w:eastAsia="Courier New" w:cs="Courier New"/>
      <w:b w:val="false"/>
      <w:i w:val="false"/>
      <w:sz w:val="20"/>
      <w:szCs w:val="20"/>
    </w:rPr>
  </w:style>
  <w:style w:type="character" w:styleId="ListLabel61">
    <w:name w:val="ListLabel 61"/>
    <w:qFormat/>
    <w:rPr>
      <w:rFonts w:ascii="Courier New" w:hAnsi="Courier New" w:eastAsia="Courier New" w:cs="Courier New"/>
      <w:b w:val="false"/>
      <w:i w:val="false"/>
      <w:sz w:val="20"/>
      <w:szCs w:val="20"/>
    </w:rPr>
  </w:style>
  <w:style w:type="character" w:styleId="ListLabel62">
    <w:name w:val="ListLabel 62"/>
    <w:qFormat/>
    <w:rPr>
      <w:rFonts w:eastAsia="Courier New" w:cs="Courier New"/>
      <w:b w:val="false"/>
      <w:i w:val="false"/>
      <w:sz w:val="20"/>
      <w:szCs w:val="20"/>
    </w:rPr>
  </w:style>
  <w:style w:type="character" w:styleId="ListLabel63">
    <w:name w:val="ListLabel 63"/>
    <w:qFormat/>
    <w:rPr>
      <w:rFonts w:eastAsia="Courier New" w:cs="Courier New"/>
      <w:b w:val="false"/>
      <w:i w:val="false"/>
      <w:sz w:val="20"/>
      <w:szCs w:val="20"/>
    </w:rPr>
  </w:style>
  <w:style w:type="character" w:styleId="ListLabel64">
    <w:name w:val="ListLabel 64"/>
    <w:qFormat/>
    <w:rPr>
      <w:rFonts w:eastAsia="Courier New" w:cs="Courier New"/>
      <w:b w:val="false"/>
      <w:i w:val="false"/>
      <w:sz w:val="20"/>
      <w:szCs w:val="20"/>
    </w:rPr>
  </w:style>
  <w:style w:type="character" w:styleId="ListLabel65">
    <w:name w:val="ListLabel 65"/>
    <w:qFormat/>
    <w:rPr>
      <w:rFonts w:eastAsia="Courier New" w:cs="Courier New"/>
      <w:b w:val="false"/>
      <w:i w:val="false"/>
      <w:sz w:val="20"/>
      <w:szCs w:val="20"/>
    </w:rPr>
  </w:style>
  <w:style w:type="paragraph" w:styleId="Titolo">
    <w:name w:val="Titolo"/>
    <w:next w:val="Corpodeltesto"/>
    <w:qFormat/>
    <w:pPr>
      <w:keepNext w:val="true"/>
      <w:widowControl/>
      <w:suppressAutoHyphens w:val="false"/>
      <w:bidi w:val="0"/>
      <w:spacing w:lineRule="auto" w:line="480" w:before="240" w:after="120"/>
      <w:ind w:left="0" w:right="-125" w:hanging="0"/>
      <w:jc w:val="both"/>
      <w:textAlignment w:val="top"/>
      <w:outlineLvl w:val="0"/>
    </w:pPr>
    <w:rPr>
      <w:rFonts w:ascii="Trebuchet MS" w:hAnsi="Trebuchet MS" w:eastAsia="Microsoft YaHei" w:cs="Mangal"/>
      <w:color w:val="auto"/>
      <w:spacing w:val="-22"/>
      <w:w w:val="100"/>
      <w:kern w:val="0"/>
      <w:position w:val="0"/>
      <w:sz w:val="20"/>
      <w:sz w:val="20"/>
      <w:szCs w:val="28"/>
      <w:effect w:val="none"/>
      <w:vertAlign w:val="baseline"/>
      <w:em w:val="none"/>
      <w:lang w:val="it-IT" w:eastAsia="zh-CN" w:bidi="ar-SA"/>
    </w:rPr>
  </w:style>
  <w:style w:type="paragraph" w:styleId="Corpodeltesto">
    <w:name w:val="Body Text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Elenco">
    <w:name w:val="List"/>
    <w:basedOn w:val="Corpodeltesto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Didascalia">
    <w:name w:val="Caption"/>
    <w:next w:val="LOnormal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color w:val="auto"/>
      <w:spacing w:val="0"/>
      <w:w w:val="100"/>
      <w:kern w:val="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Indice">
    <w:name w:val="Indice"/>
    <w:qFormat/>
    <w:pPr>
      <w:widowControl/>
      <w:suppressLineNumbers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LOnormal" w:default="1">
    <w:name w:val="LO-normal"/>
    <w:qFormat/>
    <w:pPr>
      <w:widowControl/>
      <w:bidi w:val="0"/>
      <w:spacing w:lineRule="auto" w:line="480"/>
      <w:ind w:right="-125" w:hanging="0"/>
      <w:jc w:val="both"/>
    </w:pPr>
    <w:rPr>
      <w:rFonts w:ascii="Courier New" w:hAnsi="Courier New" w:eastAsia="Courier New" w:cs="Courier New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Intestazione">
    <w:name w:val="Header"/>
    <w:basedOn w:val="LOnormal"/>
    <w:next w:val="Corpodeltesto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b/>
      <w:spacing w:val="0"/>
      <w:w w:val="10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Corpodeltesto2">
    <w:name w:val="Corpo del testo 2"/>
    <w:basedOn w:val="LOnormal"/>
    <w:qFormat/>
    <w:pPr>
      <w:widowControl/>
      <w:suppressAutoHyphens w:val="false"/>
      <w:bidi w:val="0"/>
      <w:spacing w:lineRule="auto" w:line="240"/>
      <w:ind w:left="0" w:right="-125" w:hanging="0"/>
      <w:jc w:val="both"/>
      <w:textAlignment w:val="top"/>
      <w:outlineLvl w:val="0"/>
    </w:pPr>
    <w:rPr>
      <w:rFonts w:ascii="Book Antiqua" w:hAnsi="Book Antiqua" w:eastAsia="Times New Roman" w:cs="Book Antiqua"/>
      <w:b/>
      <w:bCs/>
      <w:spacing w:val="0"/>
      <w:w w:val="10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WWIntestazione">
    <w:name w:val="WW-Intestazione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Pidipagina">
    <w:name w:val="Footer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NormaleWeb">
    <w:name w:val="Normale (Web)"/>
    <w:basedOn w:val="LOnormal"/>
    <w:qFormat/>
    <w:pPr>
      <w:widowControl/>
      <w:suppressAutoHyphens w:val="false"/>
      <w:bidi w:val="0"/>
      <w:spacing w:lineRule="auto" w:line="240" w:before="100" w:after="100"/>
      <w:ind w:left="0" w:right="0" w:hanging="0"/>
      <w:jc w:val="left"/>
      <w:textAlignment w:val="top"/>
      <w:outlineLvl w:val="0"/>
    </w:pPr>
    <w:rPr>
      <w:rFonts w:ascii="Arial Unicode MS" w:hAnsi="Arial Unicode MS" w:eastAsia="Arial Unicode MS" w:cs="Arial Unicode MS"/>
      <w:spacing w:val="0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Default">
    <w:name w:val="Default"/>
    <w:qFormat/>
    <w:pPr>
      <w:widowControl/>
      <w:bidi w:val="0"/>
      <w:jc w:val="left"/>
    </w:pPr>
    <w:rPr>
      <w:rFonts w:ascii="Courier New" w:hAnsi="Courier New" w:eastAsia="Courier New" w:cs="Courier New"/>
      <w:color w:val="000000"/>
      <w:kern w:val="0"/>
      <w:sz w:val="24"/>
      <w:szCs w:val="20"/>
      <w:lang w:val="it-IT" w:eastAsia="zh-CN" w:bidi="hi-IN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center.regione.emilia-romagna.it/servizi-imprese/bandi-altri-enti/bandi-e-avvisi-altri-enti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546</TotalTime>
  <Application>LibreOffice/6.2.2.2$Windows_X86_64 LibreOffice_project/2b840030fec2aae0fd2658d8d4f9548af4e3518d</Application>
  <Pages>2</Pages>
  <Words>247</Words>
  <Characters>1833</Characters>
  <CharactersWithSpaces>2079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2021-05-07T08:55:00Z</dcterms:created>
  <dc:creator>peruzb</dc:creator>
  <dc:description/>
  <dc:language>it-IT</dc:language>
  <cp:lastModifiedBy>Daniela Cristina Buzea</cp:lastModifiedBy>
  <cp:lastPrinted>2021-01-05T13:21:13Z</cp:lastPrinted>
  <dcterms:modified xsi:type="dcterms:W3CDTF">2021-05-13T15:06:15Z</dcterms:modified>
  <cp:revision>33</cp:revision>
  <dc:subject/>
  <dc:title/>
</cp:coreProperties>
</file>