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3207A" w14:textId="77777777" w:rsidR="00972DA2" w:rsidRPr="006C66E5" w:rsidRDefault="00972DA2" w:rsidP="00B241C0">
      <w:pPr>
        <w:autoSpaceDE w:val="0"/>
        <w:autoSpaceDN w:val="0"/>
        <w:adjustRightInd w:val="0"/>
        <w:ind w:left="-709"/>
        <w:jc w:val="center"/>
        <w:rPr>
          <w:rFonts w:ascii="Trebuchet MS" w:hAnsi="Trebuchet MS" w:cs="Calibri"/>
          <w:b/>
          <w:sz w:val="32"/>
          <w:szCs w:val="32"/>
        </w:rPr>
      </w:pPr>
      <w:r w:rsidRPr="006C66E5">
        <w:rPr>
          <w:rFonts w:ascii="Trebuchet MS" w:hAnsi="Trebuchet MS" w:cs="Calibri"/>
          <w:b/>
          <w:sz w:val="32"/>
          <w:szCs w:val="32"/>
        </w:rPr>
        <w:t>ADDENDUM ESPLICATIVO</w:t>
      </w:r>
    </w:p>
    <w:p w14:paraId="1291D365" w14:textId="73A70B02" w:rsidR="00972DA2" w:rsidRPr="00C45BF1" w:rsidRDefault="00972DA2" w:rsidP="00B241C0">
      <w:pPr>
        <w:autoSpaceDE w:val="0"/>
        <w:autoSpaceDN w:val="0"/>
        <w:adjustRightInd w:val="0"/>
        <w:spacing w:beforeLines="120" w:before="288" w:after="120"/>
        <w:ind w:left="-709"/>
        <w:jc w:val="both"/>
        <w:rPr>
          <w:rFonts w:ascii="Trebuchet MS" w:hAnsi="Trebuchet MS" w:cs="Calibri"/>
          <w:b/>
          <w:sz w:val="32"/>
          <w:szCs w:val="32"/>
        </w:rPr>
      </w:pPr>
      <w:r w:rsidRPr="006C66E5">
        <w:rPr>
          <w:rFonts w:ascii="Trebuchet MS" w:hAnsi="Trebuchet MS" w:cs="Calibri"/>
          <w:b/>
          <w:bCs/>
          <w:sz w:val="28"/>
          <w:szCs w:val="28"/>
        </w:rPr>
        <w:t xml:space="preserve">PROCEDURA </w:t>
      </w:r>
      <w:r w:rsidRPr="00D679F0">
        <w:rPr>
          <w:rFonts w:ascii="Trebuchet MS" w:hAnsi="Trebuchet MS" w:cs="Calibri"/>
          <w:b/>
          <w:bCs/>
          <w:sz w:val="28"/>
          <w:szCs w:val="28"/>
        </w:rPr>
        <w:t xml:space="preserve">aperta in modalità telematica sulla piattaforma SINTEL </w:t>
      </w:r>
      <w:r>
        <w:rPr>
          <w:rFonts w:ascii="Trebuchet MS" w:hAnsi="Trebuchet MS" w:cs="Calibri"/>
          <w:b/>
          <w:bCs/>
          <w:sz w:val="28"/>
          <w:szCs w:val="28"/>
        </w:rPr>
        <w:t xml:space="preserve">di </w:t>
      </w:r>
      <w:r w:rsidRPr="006A164B">
        <w:rPr>
          <w:rFonts w:ascii="Trebuchet MS" w:hAnsi="Trebuchet MS" w:cs="Calibri"/>
          <w:b/>
          <w:bCs/>
          <w:sz w:val="28"/>
          <w:szCs w:val="28"/>
        </w:rPr>
        <w:t xml:space="preserve">ARIA </w:t>
      </w:r>
      <w:r>
        <w:rPr>
          <w:rFonts w:ascii="Trebuchet MS" w:hAnsi="Trebuchet MS" w:cs="Calibri"/>
          <w:b/>
          <w:bCs/>
          <w:sz w:val="28"/>
          <w:szCs w:val="28"/>
        </w:rPr>
        <w:t xml:space="preserve">- </w:t>
      </w:r>
      <w:hyperlink r:id="rId5" w:history="1">
        <w:r w:rsidRPr="00F5446C">
          <w:rPr>
            <w:rStyle w:val="Collegamentoipertestuale"/>
            <w:rFonts w:ascii="Trebuchet MS" w:hAnsi="Trebuchet MS" w:cs="Calibri"/>
            <w:b/>
            <w:bCs/>
            <w:sz w:val="28"/>
            <w:szCs w:val="28"/>
          </w:rPr>
          <w:t>www.ariaspa.it</w:t>
        </w:r>
      </w:hyperlink>
      <w:r>
        <w:rPr>
          <w:rFonts w:ascii="Trebuchet MS" w:hAnsi="Trebuchet MS" w:cs="Calibri"/>
          <w:b/>
          <w:bCs/>
          <w:sz w:val="28"/>
          <w:szCs w:val="28"/>
        </w:rPr>
        <w:t xml:space="preserve"> relativa </w:t>
      </w:r>
      <w:r w:rsidR="008E0965">
        <w:rPr>
          <w:rFonts w:ascii="Trebuchet MS" w:hAnsi="Trebuchet MS" w:cs="Calibri"/>
          <w:b/>
          <w:bCs/>
          <w:sz w:val="28"/>
          <w:szCs w:val="28"/>
        </w:rPr>
        <w:t>all’</w:t>
      </w:r>
      <w:r w:rsidRPr="00C45BF1">
        <w:rPr>
          <w:rFonts w:ascii="Trebuchet MS" w:hAnsi="Trebuchet MS" w:cs="Calibri"/>
          <w:b/>
          <w:sz w:val="32"/>
          <w:szCs w:val="32"/>
        </w:rPr>
        <w:t>AFFIDAMENT</w:t>
      </w:r>
      <w:r>
        <w:rPr>
          <w:rFonts w:ascii="Trebuchet MS" w:hAnsi="Trebuchet MS" w:cs="Calibri"/>
          <w:b/>
          <w:sz w:val="32"/>
          <w:szCs w:val="32"/>
        </w:rPr>
        <w:t xml:space="preserve">O DELLA PROGETTAZIONE ESECUTIVA </w:t>
      </w:r>
      <w:r w:rsidRPr="00C45BF1">
        <w:rPr>
          <w:rFonts w:ascii="Trebuchet MS" w:hAnsi="Trebuchet MS" w:cs="Calibri"/>
          <w:b/>
          <w:sz w:val="32"/>
          <w:szCs w:val="32"/>
        </w:rPr>
        <w:t xml:space="preserve">ED ESECUZIONE DEI LAVORI PER LA REALIZZAZIONE DEL NUOVO POLO SCOLASTICO PRIMARIO E SECONDARIO DI PRIMO GRADO SITO IN VIA IV NOVEMBRE NEL COMUNE DI INVERUNO (MI) </w:t>
      </w:r>
    </w:p>
    <w:p w14:paraId="437866EB" w14:textId="77777777" w:rsidR="00972DA2" w:rsidRPr="00B76267" w:rsidRDefault="00972DA2" w:rsidP="00B241C0">
      <w:pPr>
        <w:ind w:left="-709"/>
        <w:jc w:val="both"/>
        <w:rPr>
          <w:rFonts w:ascii="Trebuchet MS" w:hAnsi="Trebuchet MS" w:cs="Calibri"/>
          <w:sz w:val="28"/>
          <w:szCs w:val="28"/>
        </w:rPr>
      </w:pPr>
      <w:r w:rsidRPr="00B76267">
        <w:rPr>
          <w:rFonts w:ascii="Trebuchet MS" w:hAnsi="Trebuchet MS" w:cs="Calibri"/>
          <w:sz w:val="28"/>
          <w:szCs w:val="28"/>
        </w:rPr>
        <w:t xml:space="preserve">In relazione alla procedura in oggetto </w:t>
      </w:r>
      <w:bookmarkStart w:id="0" w:name="_Hlk44769651"/>
      <w:r w:rsidRPr="00B76267">
        <w:rPr>
          <w:rFonts w:ascii="Trebuchet MS" w:hAnsi="Trebuchet MS" w:cs="Calibri"/>
          <w:sz w:val="28"/>
          <w:szCs w:val="28"/>
        </w:rPr>
        <w:t xml:space="preserve">con riguardo ai requisiti di capacità tecnico professionale disciplinati all’art. 8.2 del disciplinare di gara </w:t>
      </w:r>
      <w:r>
        <w:rPr>
          <w:rFonts w:ascii="Trebuchet MS" w:hAnsi="Trebuchet MS" w:cs="Calibri"/>
          <w:sz w:val="28"/>
          <w:szCs w:val="28"/>
        </w:rPr>
        <w:t>si precisa che:</w:t>
      </w:r>
    </w:p>
    <w:bookmarkEnd w:id="0"/>
    <w:p w14:paraId="7D111D1C" w14:textId="77777777" w:rsidR="00972DA2" w:rsidRDefault="00972DA2" w:rsidP="00B241C0">
      <w:pPr>
        <w:ind w:left="-709"/>
        <w:jc w:val="both"/>
        <w:rPr>
          <w:rFonts w:ascii="Trebuchet MS" w:hAnsi="Trebuchet MS"/>
          <w:color w:val="FF0000"/>
        </w:rPr>
      </w:pPr>
    </w:p>
    <w:p w14:paraId="1496AFEA" w14:textId="12A752E8" w:rsidR="00972DA2" w:rsidRDefault="00972DA2" w:rsidP="00B241C0">
      <w:pPr>
        <w:numPr>
          <w:ilvl w:val="0"/>
          <w:numId w:val="1"/>
        </w:numPr>
        <w:ind w:left="0" w:hanging="567"/>
        <w:jc w:val="both"/>
        <w:rPr>
          <w:rFonts w:ascii="Trebuchet MS" w:hAnsi="Trebuchet MS" w:cs="Calibri"/>
          <w:sz w:val="28"/>
          <w:szCs w:val="28"/>
        </w:rPr>
      </w:pPr>
      <w:r w:rsidRPr="00B76267">
        <w:rPr>
          <w:rFonts w:ascii="Trebuchet MS" w:hAnsi="Trebuchet MS" w:cs="Calibri"/>
          <w:sz w:val="28"/>
          <w:szCs w:val="28"/>
        </w:rPr>
        <w:t xml:space="preserve">I requisiti di qualificazione </w:t>
      </w:r>
      <w:r>
        <w:rPr>
          <w:rFonts w:ascii="Trebuchet MS" w:hAnsi="Trebuchet MS" w:cs="Calibri"/>
          <w:sz w:val="28"/>
          <w:szCs w:val="28"/>
        </w:rPr>
        <w:t>di cui alla lettera a.2.2. con riguardo alla</w:t>
      </w:r>
      <w:r w:rsidRPr="00B76267">
        <w:rPr>
          <w:rFonts w:ascii="Trebuchet MS" w:hAnsi="Trebuchet MS" w:cs="Calibri"/>
          <w:sz w:val="28"/>
          <w:szCs w:val="28"/>
        </w:rPr>
        <w:t xml:space="preserve"> categoria P.02</w:t>
      </w:r>
      <w:r>
        <w:rPr>
          <w:rFonts w:ascii="Trebuchet MS" w:hAnsi="Trebuchet MS" w:cs="Calibri"/>
          <w:sz w:val="28"/>
          <w:szCs w:val="28"/>
        </w:rPr>
        <w:t xml:space="preserve"> </w:t>
      </w:r>
      <w:r w:rsidRPr="00B76267">
        <w:rPr>
          <w:rFonts w:ascii="Trebuchet MS" w:hAnsi="Trebuchet MS" w:cs="Calibri"/>
          <w:sz w:val="28"/>
          <w:szCs w:val="28"/>
        </w:rPr>
        <w:t xml:space="preserve">sono </w:t>
      </w:r>
      <w:r>
        <w:rPr>
          <w:rFonts w:ascii="Trebuchet MS" w:hAnsi="Trebuchet MS" w:cs="Calibri"/>
          <w:sz w:val="28"/>
          <w:szCs w:val="28"/>
        </w:rPr>
        <w:t xml:space="preserve">dimostrati anche mediante </w:t>
      </w:r>
      <w:r w:rsidRPr="00B76267">
        <w:rPr>
          <w:rFonts w:ascii="Trebuchet MS" w:hAnsi="Trebuchet MS" w:cs="Calibri"/>
          <w:sz w:val="28"/>
          <w:szCs w:val="28"/>
        </w:rPr>
        <w:t>il possesso dei requisiti di cui alla categoria E.17 avente grado di complessità 0,65, fermo restando quanto previsto dall’art. 8 del DM del 17/06/2016.</w:t>
      </w:r>
    </w:p>
    <w:p w14:paraId="73E7577B" w14:textId="77777777" w:rsidR="00972DA2" w:rsidRDefault="00972DA2" w:rsidP="00B241C0">
      <w:pPr>
        <w:numPr>
          <w:ilvl w:val="0"/>
          <w:numId w:val="1"/>
        </w:numPr>
        <w:ind w:left="0" w:hanging="567"/>
        <w:jc w:val="both"/>
        <w:rPr>
          <w:rFonts w:ascii="Trebuchet MS" w:hAnsi="Trebuchet MS" w:cs="Calibri"/>
          <w:sz w:val="28"/>
          <w:szCs w:val="28"/>
        </w:rPr>
      </w:pPr>
      <w:r w:rsidRPr="00BE5AFF">
        <w:rPr>
          <w:rFonts w:ascii="Trebuchet MS" w:hAnsi="Trebuchet MS" w:cs="Calibri"/>
          <w:sz w:val="28"/>
          <w:szCs w:val="28"/>
        </w:rPr>
        <w:t>I requisiti di qualificazione di cui alla categoria P.02 sono altresì dimostrati e soddisfatti mediante il possesso dei requisiti di cui alla categoria E.08, fermo restando quanto previsto dall’art. 8 del DM del 17/06/2016.</w:t>
      </w:r>
    </w:p>
    <w:p w14:paraId="0D1401B9" w14:textId="77777777" w:rsidR="00972DA2" w:rsidRDefault="00972DA2" w:rsidP="00B241C0">
      <w:pPr>
        <w:numPr>
          <w:ilvl w:val="0"/>
          <w:numId w:val="1"/>
        </w:numPr>
        <w:ind w:left="0" w:hanging="567"/>
        <w:jc w:val="both"/>
        <w:rPr>
          <w:rFonts w:ascii="Trebuchet MS" w:hAnsi="Trebuchet MS" w:cs="Calibri"/>
          <w:sz w:val="28"/>
          <w:szCs w:val="28"/>
        </w:rPr>
      </w:pPr>
      <w:r w:rsidRPr="00BE5AFF">
        <w:rPr>
          <w:rFonts w:ascii="Trebuchet MS" w:hAnsi="Trebuchet MS" w:cs="Calibri"/>
          <w:sz w:val="28"/>
          <w:szCs w:val="28"/>
        </w:rPr>
        <w:t xml:space="preserve">Nel caso di cui al punto 2 il requisito per la categoria E.08 di cui all’articolo 8.2. lettera a.2.2) del disciplinare deve considerarsi elevato a € 5.380.138,50 ed il requisito di cui all’articolo 8.2. lettera a.2.3) </w:t>
      </w:r>
      <w:r>
        <w:rPr>
          <w:rFonts w:ascii="Trebuchet MS" w:hAnsi="Trebuchet MS" w:cs="Calibri"/>
          <w:sz w:val="28"/>
          <w:szCs w:val="28"/>
        </w:rPr>
        <w:t>deve considerarsi</w:t>
      </w:r>
      <w:r w:rsidRPr="00BE5AFF">
        <w:rPr>
          <w:rFonts w:ascii="Trebuchet MS" w:hAnsi="Trebuchet MS" w:cs="Calibri"/>
          <w:sz w:val="28"/>
          <w:szCs w:val="28"/>
        </w:rPr>
        <w:t xml:space="preserve"> elevato a € 2.152.055,40</w:t>
      </w:r>
    </w:p>
    <w:p w14:paraId="5392C962" w14:textId="0B94A7CA" w:rsidR="00972DA2" w:rsidRDefault="00972DA2" w:rsidP="00B241C0">
      <w:pPr>
        <w:numPr>
          <w:ilvl w:val="0"/>
          <w:numId w:val="1"/>
        </w:numPr>
        <w:autoSpaceDE w:val="0"/>
        <w:autoSpaceDN w:val="0"/>
        <w:ind w:left="0" w:right="84" w:hanging="567"/>
        <w:jc w:val="both"/>
        <w:rPr>
          <w:rFonts w:ascii="Trebuchet MS" w:hAnsi="Trebuchet MS" w:cs="Calibri"/>
          <w:sz w:val="28"/>
          <w:szCs w:val="28"/>
        </w:rPr>
      </w:pPr>
      <w:bookmarkStart w:id="1" w:name="_Hlk44770132"/>
      <w:r w:rsidRPr="00614D7D">
        <w:rPr>
          <w:rFonts w:ascii="Trebuchet MS" w:hAnsi="Trebuchet MS" w:cs="Calibri"/>
          <w:sz w:val="28"/>
          <w:szCs w:val="28"/>
        </w:rPr>
        <w:t xml:space="preserve">Ogni richiamo contenuto nei documenti di gara con riguardo alla categoria P02 deve dunque essere letto e inteso nei termini </w:t>
      </w:r>
      <w:r>
        <w:rPr>
          <w:rFonts w:ascii="Trebuchet MS" w:hAnsi="Trebuchet MS" w:cs="Calibri"/>
          <w:sz w:val="28"/>
          <w:szCs w:val="28"/>
        </w:rPr>
        <w:t>esplicati ai punti 1</w:t>
      </w:r>
      <w:r w:rsidR="00A01208">
        <w:rPr>
          <w:rFonts w:ascii="Trebuchet MS" w:hAnsi="Trebuchet MS" w:cs="Calibri"/>
          <w:sz w:val="28"/>
          <w:szCs w:val="28"/>
        </w:rPr>
        <w:t xml:space="preserve">, </w:t>
      </w:r>
      <w:r>
        <w:rPr>
          <w:rFonts w:ascii="Trebuchet MS" w:hAnsi="Trebuchet MS" w:cs="Calibri"/>
          <w:sz w:val="28"/>
          <w:szCs w:val="28"/>
        </w:rPr>
        <w:t>2 e 3 del presente avviso.</w:t>
      </w:r>
    </w:p>
    <w:bookmarkEnd w:id="1"/>
    <w:p w14:paraId="60F5A475" w14:textId="77777777" w:rsidR="00744A21" w:rsidRDefault="00744A21" w:rsidP="00B241C0">
      <w:pPr>
        <w:autoSpaceDE w:val="0"/>
        <w:autoSpaceDN w:val="0"/>
        <w:ind w:left="-709" w:right="84"/>
        <w:jc w:val="both"/>
        <w:rPr>
          <w:rFonts w:ascii="Trebuchet MS" w:hAnsi="Trebuchet MS" w:cs="Calibri"/>
          <w:sz w:val="28"/>
          <w:szCs w:val="28"/>
        </w:rPr>
      </w:pPr>
    </w:p>
    <w:p w14:paraId="39238EB1" w14:textId="05DA8FF1" w:rsidR="00744A21" w:rsidRDefault="00744A21" w:rsidP="00B241C0">
      <w:pPr>
        <w:ind w:left="-709"/>
        <w:jc w:val="both"/>
        <w:rPr>
          <w:rFonts w:ascii="Trebuchet MS" w:hAnsi="Trebuchet MS" w:cs="Calibri"/>
          <w:sz w:val="28"/>
          <w:szCs w:val="28"/>
        </w:rPr>
      </w:pPr>
      <w:r>
        <w:rPr>
          <w:rFonts w:ascii="Trebuchet MS" w:hAnsi="Trebuchet MS" w:cs="Calibri"/>
          <w:sz w:val="28"/>
          <w:szCs w:val="28"/>
        </w:rPr>
        <w:t>C</w:t>
      </w:r>
      <w:r w:rsidRPr="00B76267">
        <w:rPr>
          <w:rFonts w:ascii="Trebuchet MS" w:hAnsi="Trebuchet MS" w:cs="Calibri"/>
          <w:sz w:val="28"/>
          <w:szCs w:val="28"/>
        </w:rPr>
        <w:t>on riguardo a</w:t>
      </w:r>
      <w:r w:rsidR="00B241C0">
        <w:rPr>
          <w:rFonts w:ascii="Trebuchet MS" w:hAnsi="Trebuchet MS" w:cs="Calibri"/>
          <w:sz w:val="28"/>
          <w:szCs w:val="28"/>
        </w:rPr>
        <w:t xml:space="preserve">lle categorie dei lavori indicate al punto 5 del </w:t>
      </w:r>
      <w:r w:rsidRPr="00B76267">
        <w:rPr>
          <w:rFonts w:ascii="Trebuchet MS" w:hAnsi="Trebuchet MS" w:cs="Calibri"/>
          <w:sz w:val="28"/>
          <w:szCs w:val="28"/>
        </w:rPr>
        <w:t xml:space="preserve">disciplinare di gara </w:t>
      </w:r>
      <w:r>
        <w:rPr>
          <w:rFonts w:ascii="Trebuchet MS" w:hAnsi="Trebuchet MS" w:cs="Calibri"/>
          <w:sz w:val="28"/>
          <w:szCs w:val="28"/>
        </w:rPr>
        <w:t>si precisa che:</w:t>
      </w:r>
    </w:p>
    <w:p w14:paraId="2CD0D629" w14:textId="77777777" w:rsidR="00B241C0" w:rsidRPr="00B76267" w:rsidRDefault="00B241C0" w:rsidP="00B241C0">
      <w:pPr>
        <w:ind w:left="-709"/>
        <w:jc w:val="both"/>
        <w:rPr>
          <w:rFonts w:ascii="Trebuchet MS" w:hAnsi="Trebuchet MS" w:cs="Calibri"/>
          <w:sz w:val="28"/>
          <w:szCs w:val="28"/>
        </w:rPr>
      </w:pPr>
    </w:p>
    <w:p w14:paraId="1931BCE5" w14:textId="4940BAE9" w:rsidR="00B241C0" w:rsidRDefault="00B241C0" w:rsidP="00B241C0">
      <w:pPr>
        <w:pStyle w:val="Paragrafoelenco"/>
        <w:numPr>
          <w:ilvl w:val="0"/>
          <w:numId w:val="2"/>
        </w:numPr>
        <w:ind w:left="0" w:right="84" w:hanging="567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L</w:t>
      </w:r>
      <w:r w:rsidRPr="00B241C0">
        <w:rPr>
          <w:rFonts w:ascii="Trebuchet MS" w:hAnsi="Trebuchet MS"/>
          <w:sz w:val="28"/>
          <w:szCs w:val="28"/>
        </w:rPr>
        <w:t xml:space="preserve">a categoria OS32, di importo inferiore al 10% dell’importo complessivo dei lavori, è interamente subappaltabile a imprese in possesso di adeguata qualificazione. </w:t>
      </w:r>
    </w:p>
    <w:p w14:paraId="131EC532" w14:textId="77777777" w:rsidR="00C2003C" w:rsidRDefault="00B241C0" w:rsidP="00C2003C">
      <w:pPr>
        <w:pStyle w:val="Paragrafoelenco"/>
        <w:numPr>
          <w:ilvl w:val="0"/>
          <w:numId w:val="2"/>
        </w:numPr>
        <w:ind w:left="0" w:right="84" w:hanging="567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</w:t>
      </w:r>
      <w:r w:rsidRPr="00B241C0">
        <w:rPr>
          <w:rFonts w:ascii="Trebuchet MS" w:hAnsi="Trebuchet MS"/>
          <w:sz w:val="28"/>
          <w:szCs w:val="28"/>
        </w:rPr>
        <w:t>er</w:t>
      </w:r>
      <w:r>
        <w:rPr>
          <w:rFonts w:ascii="Trebuchet MS" w:hAnsi="Trebuchet MS"/>
          <w:sz w:val="28"/>
          <w:szCs w:val="28"/>
        </w:rPr>
        <w:t xml:space="preserve"> </w:t>
      </w:r>
      <w:r w:rsidRPr="00B241C0">
        <w:rPr>
          <w:rFonts w:ascii="Trebuchet MS" w:hAnsi="Trebuchet MS"/>
          <w:sz w:val="28"/>
          <w:szCs w:val="28"/>
        </w:rPr>
        <w:t xml:space="preserve">la categoria OS32 è </w:t>
      </w:r>
      <w:r>
        <w:rPr>
          <w:rFonts w:ascii="Trebuchet MS" w:hAnsi="Trebuchet MS"/>
          <w:sz w:val="28"/>
          <w:szCs w:val="28"/>
        </w:rPr>
        <w:t xml:space="preserve">altresì </w:t>
      </w:r>
      <w:r w:rsidRPr="00B241C0">
        <w:rPr>
          <w:rFonts w:ascii="Trebuchet MS" w:hAnsi="Trebuchet MS"/>
          <w:sz w:val="28"/>
          <w:szCs w:val="28"/>
        </w:rPr>
        <w:t>ammesso il ricorso all’istituto dell’avvalimento o alla partecipazione mediante RTI.</w:t>
      </w:r>
    </w:p>
    <w:p w14:paraId="41DE0595" w14:textId="2FBBA267" w:rsidR="00A01208" w:rsidRDefault="00C2003C" w:rsidP="00C5614F">
      <w:pPr>
        <w:pStyle w:val="Paragrafoelenco"/>
        <w:numPr>
          <w:ilvl w:val="0"/>
          <w:numId w:val="2"/>
        </w:numPr>
        <w:ind w:left="0" w:right="84" w:hanging="567"/>
        <w:jc w:val="both"/>
        <w:rPr>
          <w:rFonts w:ascii="Trebuchet MS" w:hAnsi="Trebuchet MS"/>
          <w:sz w:val="28"/>
          <w:szCs w:val="28"/>
        </w:rPr>
      </w:pPr>
      <w:r w:rsidRPr="00C2003C">
        <w:rPr>
          <w:rFonts w:ascii="Trebuchet MS" w:hAnsi="Trebuchet MS"/>
          <w:sz w:val="28"/>
          <w:szCs w:val="28"/>
        </w:rPr>
        <w:t xml:space="preserve">Ogni richiamo contenuto nei documenti di gara con riguardo alla categoria </w:t>
      </w:r>
      <w:r w:rsidR="00167475">
        <w:rPr>
          <w:rFonts w:ascii="Trebuchet MS" w:hAnsi="Trebuchet MS"/>
          <w:sz w:val="28"/>
          <w:szCs w:val="28"/>
        </w:rPr>
        <w:t>O</w:t>
      </w:r>
      <w:r>
        <w:rPr>
          <w:rFonts w:ascii="Trebuchet MS" w:hAnsi="Trebuchet MS"/>
          <w:sz w:val="28"/>
          <w:szCs w:val="28"/>
        </w:rPr>
        <w:t>S32</w:t>
      </w:r>
      <w:r w:rsidRPr="00C2003C">
        <w:rPr>
          <w:rFonts w:ascii="Trebuchet MS" w:hAnsi="Trebuchet MS"/>
          <w:sz w:val="28"/>
          <w:szCs w:val="28"/>
        </w:rPr>
        <w:t xml:space="preserve"> deve dunque essere letto e inteso nei termini </w:t>
      </w:r>
      <w:r w:rsidR="00167475">
        <w:rPr>
          <w:rFonts w:ascii="Trebuchet MS" w:hAnsi="Trebuchet MS"/>
          <w:sz w:val="28"/>
          <w:szCs w:val="28"/>
        </w:rPr>
        <w:t>sopra indicati</w:t>
      </w:r>
      <w:r w:rsidRPr="00DC5CD3">
        <w:rPr>
          <w:rFonts w:ascii="Trebuchet MS" w:hAnsi="Trebuchet MS"/>
          <w:sz w:val="28"/>
          <w:szCs w:val="28"/>
        </w:rPr>
        <w:t>.</w:t>
      </w:r>
    </w:p>
    <w:p w14:paraId="4C521C83" w14:textId="77777777" w:rsidR="00C5614F" w:rsidRPr="00C5614F" w:rsidRDefault="00C5614F" w:rsidP="00C5614F">
      <w:pPr>
        <w:pStyle w:val="Paragrafoelenco"/>
        <w:ind w:left="0" w:right="84"/>
        <w:jc w:val="both"/>
        <w:rPr>
          <w:rFonts w:ascii="Trebuchet MS" w:hAnsi="Trebuchet MS"/>
          <w:sz w:val="28"/>
          <w:szCs w:val="28"/>
        </w:rPr>
      </w:pPr>
    </w:p>
    <w:tbl>
      <w:tblPr>
        <w:tblStyle w:val="Grigliatabella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1"/>
      </w:tblGrid>
      <w:tr w:rsidR="00C5614F" w14:paraId="6FD7C81A" w14:textId="77777777" w:rsidTr="00C5614F">
        <w:tc>
          <w:tcPr>
            <w:tcW w:w="4360" w:type="dxa"/>
          </w:tcPr>
          <w:p w14:paraId="652D3215" w14:textId="580E8BD4" w:rsidR="00C5614F" w:rsidRDefault="00C5614F" w:rsidP="00B241C0">
            <w:pPr>
              <w:rPr>
                <w:rFonts w:ascii="Trebuchet MS" w:hAnsi="Trebuchet MS" w:cs="Calibri"/>
                <w:sz w:val="28"/>
                <w:szCs w:val="28"/>
              </w:rPr>
            </w:pPr>
            <w:r>
              <w:rPr>
                <w:rFonts w:ascii="Trebuchet MS" w:hAnsi="Trebuchet MS" w:cs="Calibri"/>
                <w:sz w:val="28"/>
                <w:szCs w:val="28"/>
              </w:rPr>
              <w:t>Rho, 10.07.2020</w:t>
            </w:r>
          </w:p>
        </w:tc>
        <w:tc>
          <w:tcPr>
            <w:tcW w:w="4361" w:type="dxa"/>
          </w:tcPr>
          <w:p w14:paraId="4975AA81" w14:textId="77777777" w:rsidR="00C5614F" w:rsidRPr="00C5614F" w:rsidRDefault="00C5614F" w:rsidP="00C5614F">
            <w:pPr>
              <w:jc w:val="right"/>
              <w:rPr>
                <w:rFonts w:ascii="Trebuchet MS" w:hAnsi="Trebuchet MS" w:cs="Calibri"/>
                <w:sz w:val="28"/>
                <w:szCs w:val="28"/>
              </w:rPr>
            </w:pPr>
            <w:r w:rsidRPr="00C5614F">
              <w:rPr>
                <w:rFonts w:ascii="Trebuchet MS" w:hAnsi="Trebuchet MS" w:cs="Calibri"/>
                <w:sz w:val="28"/>
                <w:szCs w:val="28"/>
              </w:rPr>
              <w:t>Il Responsabile CUC RHO</w:t>
            </w:r>
          </w:p>
          <w:p w14:paraId="11E741E6" w14:textId="227EDF13" w:rsidR="00C5614F" w:rsidRDefault="00C5614F" w:rsidP="00C5614F">
            <w:pPr>
              <w:jc w:val="right"/>
              <w:rPr>
                <w:rFonts w:ascii="Trebuchet MS" w:hAnsi="Trebuchet MS" w:cs="Calibri"/>
                <w:sz w:val="28"/>
                <w:szCs w:val="28"/>
              </w:rPr>
            </w:pPr>
            <w:r w:rsidRPr="00C5614F">
              <w:rPr>
                <w:rFonts w:ascii="Trebuchet MS" w:hAnsi="Trebuchet MS" w:cs="Calibri"/>
                <w:sz w:val="28"/>
                <w:szCs w:val="28"/>
              </w:rPr>
              <w:t>Ing. Giovanni Fumagalli</w:t>
            </w:r>
          </w:p>
        </w:tc>
      </w:tr>
    </w:tbl>
    <w:p w14:paraId="53BD8DC8" w14:textId="77777777" w:rsidR="00C5614F" w:rsidRDefault="00C5614F" w:rsidP="00B241C0">
      <w:pPr>
        <w:ind w:left="-709" w:firstLine="708"/>
        <w:rPr>
          <w:rFonts w:ascii="Trebuchet MS" w:hAnsi="Trebuchet MS" w:cs="Calibri"/>
          <w:sz w:val="28"/>
          <w:szCs w:val="28"/>
        </w:rPr>
      </w:pPr>
    </w:p>
    <w:sectPr w:rsidR="00C5614F" w:rsidSect="00463D0F">
      <w:pgSz w:w="11906" w:h="16838" w:code="9"/>
      <w:pgMar w:top="1418" w:right="1134" w:bottom="1134" w:left="1134" w:header="709" w:footer="709" w:gutter="90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13C6C"/>
    <w:multiLevelType w:val="hybridMultilevel"/>
    <w:tmpl w:val="CFDE08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90A85"/>
    <w:multiLevelType w:val="hybridMultilevel"/>
    <w:tmpl w:val="81C4DF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A2"/>
    <w:rsid w:val="00167475"/>
    <w:rsid w:val="00463D0F"/>
    <w:rsid w:val="005136CB"/>
    <w:rsid w:val="00744A21"/>
    <w:rsid w:val="00776571"/>
    <w:rsid w:val="008E0965"/>
    <w:rsid w:val="00972DA2"/>
    <w:rsid w:val="00A01208"/>
    <w:rsid w:val="00B241C0"/>
    <w:rsid w:val="00B50C25"/>
    <w:rsid w:val="00BB3141"/>
    <w:rsid w:val="00C2003C"/>
    <w:rsid w:val="00C5614F"/>
    <w:rsid w:val="00D90BEF"/>
    <w:rsid w:val="00DC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790A"/>
  <w15:chartTrackingRefBased/>
  <w15:docId w15:val="{2141185F-33D1-4F90-9F71-D3966653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2DA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72DA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241C0"/>
    <w:pPr>
      <w:ind w:left="720"/>
      <w:contextualSpacing/>
    </w:pPr>
  </w:style>
  <w:style w:type="table" w:styleId="Grigliatabella">
    <w:name w:val="Table Grid"/>
    <w:basedOn w:val="Tabellanormale"/>
    <w:uiPriority w:val="59"/>
    <w:rsid w:val="00C56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iasp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ARCLEX Avvocati Associati</dc:creator>
  <cp:keywords/>
  <dc:description/>
  <cp:lastModifiedBy>porzio.fabio@tiscali.it</cp:lastModifiedBy>
  <cp:revision>7</cp:revision>
  <dcterms:created xsi:type="dcterms:W3CDTF">2020-07-04T13:38:00Z</dcterms:created>
  <dcterms:modified xsi:type="dcterms:W3CDTF">2020-07-10T11:51:00Z</dcterms:modified>
</cp:coreProperties>
</file>